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A97DA"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4D49F8">
        <w:rPr>
          <w:b/>
          <w:i/>
          <w:noProof/>
          <w:sz w:val="28"/>
        </w:rPr>
        <w:t>0062</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AAB4" w:rsidR="001E41F3" w:rsidRPr="00410371" w:rsidRDefault="009E6A09" w:rsidP="00E13F3D">
            <w:pPr>
              <w:pStyle w:val="CRCoverPage"/>
              <w:spacing w:after="0"/>
              <w:jc w:val="right"/>
              <w:rPr>
                <w:b/>
                <w:noProof/>
                <w:sz w:val="28"/>
              </w:rPr>
            </w:pPr>
            <w:r>
              <w:rPr>
                <w:b/>
                <w:noProof/>
                <w:sz w:val="28"/>
              </w:rPr>
              <w:t>26.247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C278B" w:rsidR="001E41F3" w:rsidRPr="00410371" w:rsidRDefault="004D49F8"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513A8" w:rsidR="001E41F3" w:rsidRPr="00410371" w:rsidRDefault="00415604">
            <w:pPr>
              <w:pStyle w:val="CRCoverPage"/>
              <w:spacing w:after="0"/>
              <w:jc w:val="center"/>
              <w:rPr>
                <w:noProof/>
                <w:sz w:val="28"/>
              </w:rPr>
            </w:pPr>
            <w:r w:rsidRPr="00576E8E">
              <w:rPr>
                <w:b/>
                <w:noProof/>
                <w:sz w:val="28"/>
              </w:rPr>
              <w:t>1</w:t>
            </w:r>
            <w:r w:rsidR="00576E8E" w:rsidRPr="00576E8E">
              <w:rPr>
                <w:b/>
                <w:noProof/>
                <w:sz w:val="28"/>
              </w:rPr>
              <w:t>7</w:t>
            </w:r>
            <w:r w:rsidRPr="00576E8E">
              <w:rPr>
                <w:b/>
                <w:noProof/>
                <w:sz w:val="28"/>
              </w:rPr>
              <w:t>.</w:t>
            </w:r>
            <w:r w:rsidR="00576E8E" w:rsidRPr="00576E8E">
              <w:rPr>
                <w:b/>
                <w:noProof/>
                <w:sz w:val="28"/>
              </w:rPr>
              <w:t>2</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E29B4" w:rsidR="001E41F3" w:rsidRDefault="00576E8E">
            <w:pPr>
              <w:pStyle w:val="CRCoverPage"/>
              <w:spacing w:after="0"/>
              <w:ind w:left="100"/>
              <w:rPr>
                <w:noProof/>
              </w:rPr>
            </w:pPr>
            <w:r w:rsidRPr="00566040">
              <w:t>Correction</w:t>
            </w:r>
            <w:r w:rsidR="002E3834">
              <w:t>s</w:t>
            </w:r>
            <w:r w:rsidRPr="00566040">
              <w:t xml:space="preserve"> to DASH </w:t>
            </w:r>
            <w:r w:rsidR="00566040" w:rsidRPr="00566040">
              <w:t>quality</w:t>
            </w:r>
            <w:r w:rsidRPr="00566040">
              <w:t xml:space="preserve"> metric</w:t>
            </w:r>
            <w:r w:rsidR="002E3834">
              <w:t xml:space="preserve"> and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BD188" w:rsidR="001E41F3" w:rsidRDefault="00566040">
            <w:pPr>
              <w:pStyle w:val="CRCoverPage"/>
              <w:spacing w:after="0"/>
              <w:ind w:left="100"/>
              <w:rPr>
                <w:noProof/>
              </w:rPr>
            </w:pPr>
            <w:r w:rsidRPr="004E17E5">
              <w:rPr>
                <w:noProof/>
              </w:rPr>
              <w:t>e</w:t>
            </w:r>
            <w:r w:rsidR="00D213E3" w:rsidRPr="004E17E5">
              <w:rPr>
                <w:noProof/>
              </w:rPr>
              <w:t xml:space="preserve">DASH, </w:t>
            </w:r>
            <w:r w:rsidR="00FC6D72" w:rsidRPr="00FC6D72">
              <w:rPr>
                <w:noProof/>
              </w:rPr>
              <w:t>QOED</w:t>
            </w:r>
            <w:r w:rsidR="006556FF">
              <w:rPr>
                <w:noProof/>
              </w:rPr>
              <w:t xml:space="preserve">, </w:t>
            </w:r>
            <w:r w:rsidR="006556FF" w:rsidRPr="006556FF">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E75D7" w:rsidR="001E41F3" w:rsidRDefault="00415604">
            <w:pPr>
              <w:pStyle w:val="CRCoverPage"/>
              <w:spacing w:after="0"/>
              <w:ind w:left="100"/>
              <w:rPr>
                <w:noProof/>
              </w:rPr>
            </w:pPr>
            <w:r w:rsidRPr="004D49F8">
              <w:t>202</w:t>
            </w:r>
            <w:r w:rsidR="009E6A09" w:rsidRPr="004D49F8">
              <w:t>3</w:t>
            </w:r>
            <w:r w:rsidRPr="004D49F8">
              <w:t>-0</w:t>
            </w:r>
            <w:r w:rsidR="009E6A09" w:rsidRPr="004D49F8">
              <w:t>2</w:t>
            </w:r>
            <w:r w:rsidRPr="004D49F8">
              <w:t>-</w:t>
            </w:r>
            <w:r w:rsidR="004D49F8" w:rsidRPr="004D49F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74336" w:rsidR="001E41F3" w:rsidRDefault="006556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74CFC" w:rsidR="001E41F3" w:rsidRDefault="00415604">
            <w:pPr>
              <w:pStyle w:val="CRCoverPage"/>
              <w:spacing w:after="0"/>
              <w:ind w:left="100"/>
              <w:rPr>
                <w:noProof/>
              </w:rPr>
            </w:pPr>
            <w:r>
              <w:rPr>
                <w:noProof/>
              </w:rPr>
              <w:t>Rel-1</w:t>
            </w:r>
            <w:r w:rsidR="009E6A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388A6" w14:textId="4622074F" w:rsidR="00CC5C1B" w:rsidRPr="00282553" w:rsidRDefault="00CC5C1B">
            <w:pPr>
              <w:pStyle w:val="CRCoverPage"/>
              <w:spacing w:after="0"/>
              <w:ind w:left="100"/>
              <w:rPr>
                <w:noProof/>
                <w:u w:val="single"/>
              </w:rPr>
            </w:pPr>
            <w:r w:rsidRPr="00282553">
              <w:rPr>
                <w:noProof/>
                <w:u w:val="single"/>
              </w:rPr>
              <w:t>The following issue related to the DASH quality metric „Playout Delay for Media Start-up“ needs to be fixed in clause 10.4:</w:t>
            </w:r>
          </w:p>
          <w:p w14:paraId="1569EC2D" w14:textId="283B394C" w:rsidR="00784AFE" w:rsidRDefault="00566040" w:rsidP="00CC5C1B">
            <w:pPr>
              <w:pStyle w:val="CRCoverPage"/>
              <w:numPr>
                <w:ilvl w:val="0"/>
                <w:numId w:val="2"/>
              </w:numPr>
              <w:spacing w:after="0"/>
              <w:rPr>
                <w:noProof/>
              </w:rPr>
            </w:pPr>
            <w:r w:rsidRPr="00566040">
              <w:rPr>
                <w:noProof/>
              </w:rPr>
              <w:t xml:space="preserve">The </w:t>
            </w:r>
            <w:r>
              <w:rPr>
                <w:noProof/>
              </w:rPr>
              <w:t xml:space="preserve">DASH quality </w:t>
            </w:r>
            <w:r w:rsidRPr="00566040">
              <w:rPr>
                <w:noProof/>
              </w:rPr>
              <w:t>metric „Playout Delay for Media Start-up“ was introduced in Rel-13 by CR</w:t>
            </w:r>
            <w:r>
              <w:rPr>
                <w:noProof/>
              </w:rPr>
              <w:t>0074r2 (</w:t>
            </w:r>
            <w:r w:rsidR="00600943">
              <w:rPr>
                <w:noProof/>
              </w:rPr>
              <w:t xml:space="preserve">was approved in </w:t>
            </w:r>
            <w:r>
              <w:rPr>
                <w:noProof/>
              </w:rPr>
              <w:t>SA#66 in CR pack SP-140737).</w:t>
            </w:r>
            <w:r w:rsidR="00600943">
              <w:rPr>
                <w:noProof/>
              </w:rPr>
              <w:t xml:space="preserve"> </w:t>
            </w:r>
            <w:r>
              <w:rPr>
                <w:noProof/>
              </w:rPr>
              <w:t>But i</w:t>
            </w:r>
            <w:r w:rsidRPr="00566040">
              <w:rPr>
                <w:noProof/>
              </w:rPr>
              <w:t>n clause 10.4 on „Quality metrics for DASH“ this metric is missing</w:t>
            </w:r>
            <w:r>
              <w:rPr>
                <w:noProof/>
              </w:rPr>
              <w:t>.</w:t>
            </w:r>
          </w:p>
          <w:p w14:paraId="4F08C3E4" w14:textId="77429A92" w:rsidR="00600943" w:rsidRDefault="00600943" w:rsidP="00600943">
            <w:pPr>
              <w:pStyle w:val="CRCoverPage"/>
              <w:spacing w:after="0"/>
              <w:ind w:left="100"/>
              <w:rPr>
                <w:noProof/>
              </w:rPr>
            </w:pPr>
          </w:p>
          <w:p w14:paraId="436DDF4B" w14:textId="70AB1DCB" w:rsidR="00600943" w:rsidRPr="00282553" w:rsidRDefault="00600943" w:rsidP="00600943">
            <w:pPr>
              <w:pStyle w:val="CRCoverPage"/>
              <w:spacing w:after="0"/>
              <w:ind w:left="100"/>
              <w:rPr>
                <w:noProof/>
                <w:u w:val="single"/>
              </w:rPr>
            </w:pPr>
            <w:r w:rsidRPr="00282553">
              <w:rPr>
                <w:noProof/>
                <w:u w:val="single"/>
              </w:rPr>
              <w:t xml:space="preserve">The following issues </w:t>
            </w:r>
            <w:r w:rsidR="00CC5C1B" w:rsidRPr="00282553">
              <w:rPr>
                <w:noProof/>
                <w:u w:val="single"/>
              </w:rPr>
              <w:t xml:space="preserve">related to the </w:t>
            </w:r>
            <w:r w:rsidR="00282553">
              <w:rPr>
                <w:noProof/>
                <w:u w:val="single"/>
              </w:rPr>
              <w:t xml:space="preserve">QoE </w:t>
            </w:r>
            <w:r w:rsidR="00CC5C1B" w:rsidRPr="00282553">
              <w:rPr>
                <w:noProof/>
                <w:u w:val="single"/>
              </w:rPr>
              <w:t xml:space="preserve">configuration and reporting </w:t>
            </w:r>
            <w:r w:rsidRPr="00282553">
              <w:rPr>
                <w:noProof/>
                <w:u w:val="single"/>
              </w:rPr>
              <w:t>need to be fixed in Annex L.1:</w:t>
            </w:r>
          </w:p>
          <w:p w14:paraId="28F6E98C" w14:textId="76A5C9B6" w:rsidR="00600943" w:rsidRDefault="00600943" w:rsidP="00282553">
            <w:pPr>
              <w:pStyle w:val="CRCoverPage"/>
              <w:numPr>
                <w:ilvl w:val="0"/>
                <w:numId w:val="2"/>
              </w:numPr>
              <w:spacing w:after="0"/>
            </w:pPr>
            <w:r>
              <w:t>The “</w:t>
            </w:r>
            <w:r w:rsidRPr="00600943">
              <w:rPr>
                <w:noProof/>
              </w:rPr>
              <w:t>Within-area Indication</w:t>
            </w:r>
            <w:r>
              <w:rPr>
                <w:noProof/>
              </w:rPr>
              <w:t>”</w:t>
            </w:r>
            <w:r>
              <w:t xml:space="preserve"> is not supported in the AT commands </w:t>
            </w:r>
            <w:r w:rsidRPr="00600943">
              <w:t xml:space="preserve">+CAPPLEVMC </w:t>
            </w:r>
            <w:r>
              <w:t>and</w:t>
            </w:r>
            <w:r w:rsidRPr="00600943">
              <w:t xml:space="preserve"> +CAPPLEVMCNR</w:t>
            </w:r>
            <w:r>
              <w:t>. Therefore, the corresponding description should be removed.</w:t>
            </w:r>
          </w:p>
          <w:p w14:paraId="47193635" w14:textId="77777777" w:rsidR="00600943" w:rsidRDefault="00600943" w:rsidP="00600943">
            <w:pPr>
              <w:pStyle w:val="CRCoverPage"/>
              <w:spacing w:after="0"/>
              <w:ind w:left="100"/>
            </w:pPr>
          </w:p>
          <w:p w14:paraId="7B48C2A8" w14:textId="51384D1E" w:rsidR="00600943" w:rsidRDefault="00600943" w:rsidP="00282553">
            <w:pPr>
              <w:pStyle w:val="CRCoverPage"/>
              <w:numPr>
                <w:ilvl w:val="0"/>
                <w:numId w:val="2"/>
              </w:numPr>
              <w:spacing w:after="0"/>
              <w:rPr>
                <w:noProof/>
              </w:rPr>
            </w:pPr>
            <w:r>
              <w:rPr>
                <w:noProof/>
              </w:rPr>
              <w:t>The “</w:t>
            </w:r>
            <w:r w:rsidRPr="00600943">
              <w:rPr>
                <w:noProof/>
              </w:rPr>
              <w:t>Recording Session Indication</w:t>
            </w:r>
            <w:r>
              <w:rPr>
                <w:noProof/>
              </w:rPr>
              <w:t xml:space="preserve">” is not supported in the </w:t>
            </w:r>
            <w:r w:rsidRPr="00600943">
              <w:rPr>
                <w:noProof/>
              </w:rPr>
              <w:t>AT command +CAPPLEVMR</w:t>
            </w:r>
            <w:r>
              <w:rPr>
                <w:noProof/>
              </w:rPr>
              <w:t>. Therefore, the corresponding description should be removed.</w:t>
            </w:r>
          </w:p>
          <w:p w14:paraId="39B7A7EC" w14:textId="55B1DED3" w:rsidR="00600943" w:rsidRDefault="00600943" w:rsidP="00600943">
            <w:pPr>
              <w:pStyle w:val="CRCoverPage"/>
              <w:spacing w:after="0"/>
              <w:ind w:left="100"/>
              <w:rPr>
                <w:noProof/>
              </w:rPr>
            </w:pPr>
          </w:p>
          <w:p w14:paraId="23BE398B" w14:textId="37BDDDDC" w:rsidR="00600943" w:rsidRDefault="00600943" w:rsidP="00282553">
            <w:pPr>
              <w:pStyle w:val="CRCoverPage"/>
              <w:numPr>
                <w:ilvl w:val="0"/>
                <w:numId w:val="2"/>
              </w:numPr>
              <w:spacing w:after="0"/>
              <w:rPr>
                <w:noProof/>
              </w:rPr>
            </w:pPr>
            <w:r>
              <w:rPr>
                <w:noProof/>
              </w:rPr>
              <w:t xml:space="preserve">With regards to the relase of </w:t>
            </w:r>
            <w:r w:rsidRPr="00600943">
              <w:rPr>
                <w:noProof/>
              </w:rPr>
              <w:t xml:space="preserve">QoE configuration </w:t>
            </w:r>
            <w:r>
              <w:rPr>
                <w:noProof/>
              </w:rPr>
              <w:t xml:space="preserve">the parameter </w:t>
            </w:r>
            <w:r w:rsidRPr="00600943">
              <w:rPr>
                <w:noProof/>
              </w:rPr>
              <w:t>&lt;start-stop_reporting&gt;</w:t>
            </w:r>
            <w:r>
              <w:rPr>
                <w:noProof/>
              </w:rPr>
              <w:t xml:space="preserve"> should be corrected to </w:t>
            </w:r>
            <w:r w:rsidRPr="00600943">
              <w:rPr>
                <w:noProof/>
              </w:rPr>
              <w:t>&lt;start-stop_measurement&gt;</w:t>
            </w:r>
            <w:r>
              <w:rPr>
                <w:noProof/>
              </w:rPr>
              <w:t xml:space="preserve"> for the </w:t>
            </w:r>
            <w:r w:rsidRPr="00600943">
              <w:rPr>
                <w:noProof/>
              </w:rPr>
              <w:t>AT command +CAPPLEVMCNR</w:t>
            </w:r>
            <w:r>
              <w:rPr>
                <w:noProof/>
              </w:rPr>
              <w:t>.</w:t>
            </w:r>
          </w:p>
          <w:p w14:paraId="5BBDFB1E" w14:textId="77777777" w:rsidR="00282553" w:rsidRDefault="00282553" w:rsidP="00282553">
            <w:pPr>
              <w:pStyle w:val="CRCoverPage"/>
              <w:spacing w:after="0"/>
              <w:rPr>
                <w:noProof/>
              </w:rPr>
            </w:pPr>
          </w:p>
          <w:p w14:paraId="628A28CA" w14:textId="58B8635D" w:rsidR="00600943" w:rsidRDefault="008562A2" w:rsidP="00282553">
            <w:pPr>
              <w:pStyle w:val="CRCoverPage"/>
              <w:numPr>
                <w:ilvl w:val="0"/>
                <w:numId w:val="2"/>
              </w:numPr>
              <w:spacing w:after="0"/>
              <w:rPr>
                <w:noProof/>
              </w:rPr>
            </w:pPr>
            <w:r>
              <w:rPr>
                <w:noProof/>
              </w:rPr>
              <w:t xml:space="preserve">To be consistent with the description, the Figures L-2 and L-3 should be </w:t>
            </w:r>
            <w:r w:rsidR="00282553">
              <w:rPr>
                <w:noProof/>
              </w:rPr>
              <w:t xml:space="preserve">revised </w:t>
            </w:r>
            <w:r>
              <w:rPr>
                <w:noProof/>
              </w:rPr>
              <w:t xml:space="preserve">to replace </w:t>
            </w:r>
            <w:r w:rsidR="00637E3F">
              <w:rPr>
                <w:noProof/>
              </w:rPr>
              <w:t xml:space="preserve">the term </w:t>
            </w:r>
            <w:r w:rsidRPr="008562A2">
              <w:rPr>
                <w:noProof/>
              </w:rPr>
              <w:t>„DASH Handler“</w:t>
            </w:r>
            <w:r>
              <w:rPr>
                <w:noProof/>
              </w:rPr>
              <w:t xml:space="preserve"> by “DASH Client”</w:t>
            </w:r>
            <w:r w:rsidR="00637E3F">
              <w:rPr>
                <w:noProof/>
              </w:rPr>
              <w:t xml:space="preserve"> and </w:t>
            </w:r>
            <w:r w:rsidR="00282553">
              <w:rPr>
                <w:noProof/>
              </w:rPr>
              <w:t>“QAM” by “OAM</w:t>
            </w:r>
            <w:r w:rsidR="00637E3F">
              <w:rPr>
                <w:noProof/>
              </w:rPr>
              <w:t>”.</w:t>
            </w:r>
            <w:r w:rsidR="001F0203">
              <w:t xml:space="preserve"> </w:t>
            </w:r>
            <w:r w:rsidR="00637E3F" w:rsidRPr="00637E3F">
              <w:t>Furthermore,</w:t>
            </w:r>
            <w:r w:rsidR="00637E3F">
              <w:t xml:space="preserve"> </w:t>
            </w:r>
            <w:r w:rsidR="001F0203" w:rsidRPr="001F0203">
              <w:rPr>
                <w:noProof/>
              </w:rPr>
              <w:t>the hyperlinks in the Figures can be removed</w:t>
            </w:r>
            <w:r w:rsidR="00282553">
              <w:rPr>
                <w:noProof/>
              </w:rPr>
              <w:t>.</w:t>
            </w:r>
          </w:p>
          <w:p w14:paraId="708AA7DE" w14:textId="4DB43534" w:rsidR="00784AFE" w:rsidRDefault="00784AFE" w:rsidP="002825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6BFAE" w14:textId="49B47EE8" w:rsidR="00784AFE" w:rsidRDefault="00600943" w:rsidP="00F16D05">
            <w:pPr>
              <w:pStyle w:val="CRCoverPage"/>
              <w:numPr>
                <w:ilvl w:val="0"/>
                <w:numId w:val="3"/>
              </w:numPr>
              <w:spacing w:after="0"/>
              <w:rPr>
                <w:noProof/>
              </w:rPr>
            </w:pPr>
            <w:r>
              <w:rPr>
                <w:noProof/>
              </w:rPr>
              <w:t>I</w:t>
            </w:r>
            <w:r w:rsidRPr="00600943">
              <w:rPr>
                <w:noProof/>
              </w:rPr>
              <w:t>n clause 10.4</w:t>
            </w:r>
            <w:r>
              <w:rPr>
                <w:noProof/>
              </w:rPr>
              <w:t xml:space="preserve"> t</w:t>
            </w:r>
            <w:r w:rsidR="00566040">
              <w:rPr>
                <w:noProof/>
              </w:rPr>
              <w:t xml:space="preserve">he </w:t>
            </w:r>
            <w:r w:rsidR="00566040" w:rsidRPr="00566040">
              <w:rPr>
                <w:noProof/>
              </w:rPr>
              <w:t>DASH quality metric „Playout Delay for Media Start-up“</w:t>
            </w:r>
            <w:r w:rsidR="00566040">
              <w:rPr>
                <w:noProof/>
              </w:rPr>
              <w:t xml:space="preserve"> has been added.</w:t>
            </w:r>
          </w:p>
          <w:p w14:paraId="2C75708F" w14:textId="77777777" w:rsidR="00F16D05" w:rsidRDefault="00F16D05" w:rsidP="00F16D05">
            <w:pPr>
              <w:pStyle w:val="CRCoverPage"/>
              <w:spacing w:after="0"/>
              <w:ind w:left="100"/>
              <w:rPr>
                <w:noProof/>
              </w:rPr>
            </w:pPr>
          </w:p>
          <w:p w14:paraId="74C57DAB" w14:textId="2EA05953" w:rsidR="00F16D05" w:rsidRDefault="002331BC" w:rsidP="00F16D05">
            <w:pPr>
              <w:pStyle w:val="CRCoverPage"/>
              <w:numPr>
                <w:ilvl w:val="0"/>
                <w:numId w:val="3"/>
              </w:numPr>
              <w:spacing w:after="0"/>
            </w:pPr>
            <w:r w:rsidRPr="002331BC">
              <w:t xml:space="preserve">In Annex L.1 </w:t>
            </w:r>
            <w:r>
              <w:t>t</w:t>
            </w:r>
            <w:r w:rsidR="00F16D05">
              <w:t>he description of “</w:t>
            </w:r>
            <w:r w:rsidR="00F16D05" w:rsidRPr="00600943">
              <w:rPr>
                <w:noProof/>
              </w:rPr>
              <w:t>Within-area Indication</w:t>
            </w:r>
            <w:r w:rsidR="00F16D05">
              <w:rPr>
                <w:noProof/>
              </w:rPr>
              <w:t>”</w:t>
            </w:r>
            <w:r w:rsidR="00F16D05">
              <w:t xml:space="preserve"> has been removed.</w:t>
            </w:r>
          </w:p>
          <w:p w14:paraId="57730AAC" w14:textId="77777777" w:rsidR="00F16D05" w:rsidRDefault="00F16D05" w:rsidP="00F16D05">
            <w:pPr>
              <w:pStyle w:val="CRCoverPage"/>
              <w:spacing w:after="0"/>
              <w:ind w:left="100"/>
            </w:pPr>
          </w:p>
          <w:p w14:paraId="736D4492" w14:textId="0AE13B99" w:rsidR="00F16D05" w:rsidRDefault="002331BC" w:rsidP="00F16D05">
            <w:pPr>
              <w:pStyle w:val="CRCoverPage"/>
              <w:numPr>
                <w:ilvl w:val="0"/>
                <w:numId w:val="3"/>
              </w:numPr>
              <w:spacing w:after="0"/>
              <w:rPr>
                <w:noProof/>
              </w:rPr>
            </w:pPr>
            <w:r w:rsidRPr="002331BC">
              <w:rPr>
                <w:noProof/>
              </w:rPr>
              <w:t xml:space="preserve">In Annex L.1 </w:t>
            </w:r>
            <w:r>
              <w:rPr>
                <w:noProof/>
              </w:rPr>
              <w:t>t</w:t>
            </w:r>
            <w:r w:rsidR="00F16D05">
              <w:rPr>
                <w:noProof/>
              </w:rPr>
              <w:t>he description of “</w:t>
            </w:r>
            <w:r w:rsidR="00F16D05" w:rsidRPr="00600943">
              <w:rPr>
                <w:noProof/>
              </w:rPr>
              <w:t>Recording Session Indication</w:t>
            </w:r>
            <w:r w:rsidR="00F16D05">
              <w:rPr>
                <w:noProof/>
              </w:rPr>
              <w:t xml:space="preserve">” related to the </w:t>
            </w:r>
            <w:r w:rsidR="00F16D05" w:rsidRPr="00600943">
              <w:rPr>
                <w:noProof/>
              </w:rPr>
              <w:t>AT command +CAPPLEVMR</w:t>
            </w:r>
            <w:r w:rsidR="00F16D05">
              <w:rPr>
                <w:noProof/>
              </w:rPr>
              <w:t xml:space="preserve"> has been removed.</w:t>
            </w:r>
          </w:p>
          <w:p w14:paraId="41EC77F2" w14:textId="77777777" w:rsidR="00F16D05" w:rsidRDefault="00F16D05" w:rsidP="00F16D05">
            <w:pPr>
              <w:pStyle w:val="CRCoverPage"/>
              <w:spacing w:after="0"/>
              <w:ind w:left="100"/>
              <w:rPr>
                <w:noProof/>
              </w:rPr>
            </w:pPr>
          </w:p>
          <w:p w14:paraId="27C24FC3" w14:textId="3EE8DF37" w:rsidR="00F16D05" w:rsidRDefault="002331BC" w:rsidP="00F16D05">
            <w:pPr>
              <w:pStyle w:val="CRCoverPage"/>
              <w:numPr>
                <w:ilvl w:val="0"/>
                <w:numId w:val="3"/>
              </w:numPr>
              <w:spacing w:after="0"/>
              <w:rPr>
                <w:noProof/>
              </w:rPr>
            </w:pPr>
            <w:r w:rsidRPr="002331BC">
              <w:rPr>
                <w:noProof/>
              </w:rPr>
              <w:t xml:space="preserve">In Annex L.1 </w:t>
            </w:r>
            <w:r>
              <w:rPr>
                <w:noProof/>
              </w:rPr>
              <w:t>w</w:t>
            </w:r>
            <w:r w:rsidR="00F16D05">
              <w:rPr>
                <w:noProof/>
              </w:rPr>
              <w:t xml:space="preserve">ith regards to the relase of </w:t>
            </w:r>
            <w:r w:rsidR="00F16D05" w:rsidRPr="00600943">
              <w:rPr>
                <w:noProof/>
              </w:rPr>
              <w:t xml:space="preserve">QoE configuration </w:t>
            </w:r>
            <w:r w:rsidR="00F16D05">
              <w:rPr>
                <w:noProof/>
              </w:rPr>
              <w:t xml:space="preserve">the parameter </w:t>
            </w:r>
            <w:r w:rsidR="00F16D05" w:rsidRPr="00600943">
              <w:rPr>
                <w:noProof/>
              </w:rPr>
              <w:t>&lt;start-stop_reporting&gt;</w:t>
            </w:r>
            <w:r w:rsidR="00F16D05">
              <w:rPr>
                <w:noProof/>
              </w:rPr>
              <w:t xml:space="preserve"> has been corrected to </w:t>
            </w:r>
            <w:r w:rsidR="00F16D05" w:rsidRPr="00600943">
              <w:rPr>
                <w:noProof/>
              </w:rPr>
              <w:t>&lt;start-stop_measurement&gt;</w:t>
            </w:r>
            <w:r w:rsidR="00F16D05">
              <w:rPr>
                <w:noProof/>
              </w:rPr>
              <w:t xml:space="preserve"> for the </w:t>
            </w:r>
            <w:r w:rsidR="00F16D05" w:rsidRPr="00600943">
              <w:rPr>
                <w:noProof/>
              </w:rPr>
              <w:t>AT command +CAPPLEVMCNR</w:t>
            </w:r>
            <w:r w:rsidR="00F16D05">
              <w:rPr>
                <w:noProof/>
              </w:rPr>
              <w:t>.</w:t>
            </w:r>
          </w:p>
          <w:p w14:paraId="199D270A" w14:textId="77777777" w:rsidR="00F16D05" w:rsidRDefault="00F16D05" w:rsidP="00F16D05">
            <w:pPr>
              <w:pStyle w:val="CRCoverPage"/>
              <w:spacing w:after="0"/>
              <w:rPr>
                <w:noProof/>
              </w:rPr>
            </w:pPr>
          </w:p>
          <w:p w14:paraId="3CEF76FC" w14:textId="66AD94E8" w:rsidR="00F16D05" w:rsidRDefault="002331BC" w:rsidP="00F16D05">
            <w:pPr>
              <w:pStyle w:val="CRCoverPage"/>
              <w:numPr>
                <w:ilvl w:val="0"/>
                <w:numId w:val="3"/>
              </w:numPr>
              <w:spacing w:after="0"/>
              <w:rPr>
                <w:noProof/>
              </w:rPr>
            </w:pPr>
            <w:r w:rsidRPr="002331BC">
              <w:rPr>
                <w:noProof/>
              </w:rPr>
              <w:t xml:space="preserve">In Annex L.1 </w:t>
            </w:r>
            <w:r>
              <w:rPr>
                <w:noProof/>
              </w:rPr>
              <w:t>r</w:t>
            </w:r>
            <w:r w:rsidR="00F16D05">
              <w:rPr>
                <w:noProof/>
              </w:rPr>
              <w:t>evised Figures L-2 and L-3 have been added.</w:t>
            </w:r>
          </w:p>
          <w:p w14:paraId="31C656EC" w14:textId="0B9D3C60" w:rsidR="004E17E5" w:rsidRDefault="004E17E5" w:rsidP="00F16D0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F800D" w14:textId="77777777" w:rsidR="00784AFE" w:rsidRDefault="004E17E5" w:rsidP="00566040">
            <w:pPr>
              <w:pStyle w:val="CRCoverPage"/>
              <w:spacing w:after="0"/>
              <w:ind w:left="100"/>
              <w:rPr>
                <w:noProof/>
              </w:rPr>
            </w:pPr>
            <w:r>
              <w:rPr>
                <w:noProof/>
              </w:rPr>
              <w:t xml:space="preserve">To change 1): </w:t>
            </w:r>
            <w:r w:rsidR="00566040">
              <w:rPr>
                <w:noProof/>
              </w:rPr>
              <w:t>The list of q</w:t>
            </w:r>
            <w:r w:rsidR="00566040" w:rsidRPr="00566040">
              <w:rPr>
                <w:noProof/>
              </w:rPr>
              <w:t>uality Metrics for DASH</w:t>
            </w:r>
            <w:r w:rsidR="00566040">
              <w:rPr>
                <w:noProof/>
              </w:rPr>
              <w:t xml:space="preserve"> remains incomplete.</w:t>
            </w:r>
          </w:p>
          <w:p w14:paraId="3E9D8068" w14:textId="524E2F23" w:rsidR="00F16D05" w:rsidRDefault="004E17E5" w:rsidP="00B21782">
            <w:pPr>
              <w:pStyle w:val="CRCoverPage"/>
              <w:spacing w:after="0"/>
              <w:ind w:left="100"/>
              <w:rPr>
                <w:noProof/>
              </w:rPr>
            </w:pPr>
            <w:r>
              <w:rPr>
                <w:noProof/>
              </w:rPr>
              <w:t>To change 2)</w:t>
            </w:r>
            <w:r w:rsidR="00B21782">
              <w:rPr>
                <w:noProof/>
              </w:rPr>
              <w:t xml:space="preserve"> </w:t>
            </w:r>
            <w:r w:rsidR="0021720D">
              <w:rPr>
                <w:noProof/>
              </w:rPr>
              <w:t>to</w:t>
            </w:r>
            <w:r w:rsidR="00B21782">
              <w:rPr>
                <w:noProof/>
              </w:rPr>
              <w:t xml:space="preserve"> </w:t>
            </w:r>
            <w:r w:rsidR="002A0F4A">
              <w:rPr>
                <w:noProof/>
              </w:rPr>
              <w:t>4</w:t>
            </w:r>
            <w:r w:rsidR="00B21782">
              <w:rPr>
                <w:noProof/>
              </w:rPr>
              <w:t xml:space="preserve">): </w:t>
            </w:r>
            <w:r w:rsidR="00B21782" w:rsidRPr="00B21782">
              <w:rPr>
                <w:noProof/>
              </w:rPr>
              <w:t>The description of QoE configuration and reporting remains misaligned with TS 27.00</w:t>
            </w:r>
            <w:r w:rsidR="006A08CC">
              <w:rPr>
                <w:noProof/>
              </w:rPr>
              <w:t>7</w:t>
            </w:r>
            <w:r w:rsidR="00B21782" w:rsidRPr="00B21782">
              <w:rPr>
                <w:noProof/>
              </w:rPr>
              <w:t>.</w:t>
            </w:r>
          </w:p>
          <w:p w14:paraId="5C4BEB44" w14:textId="4CB018F2" w:rsidR="001F0203" w:rsidRDefault="001F0203" w:rsidP="00B21782">
            <w:pPr>
              <w:pStyle w:val="CRCoverPage"/>
              <w:spacing w:after="0"/>
              <w:ind w:left="100"/>
              <w:rPr>
                <w:noProof/>
              </w:rPr>
            </w:pPr>
            <w:r>
              <w:rPr>
                <w:noProof/>
              </w:rPr>
              <w:t xml:space="preserve">To change </w:t>
            </w:r>
            <w:r w:rsidR="002A0F4A">
              <w:rPr>
                <w:noProof/>
              </w:rPr>
              <w:t>5</w:t>
            </w:r>
            <w:r>
              <w:rPr>
                <w:noProof/>
              </w:rPr>
              <w:t>): Issues remain in t</w:t>
            </w:r>
            <w:r w:rsidRPr="001F0203">
              <w:rPr>
                <w:noProof/>
              </w:rPr>
              <w:t>he Figures L-2 and L-3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6884D" w:rsidR="001E41F3" w:rsidRDefault="00D213E3">
            <w:pPr>
              <w:pStyle w:val="CRCoverPage"/>
              <w:spacing w:after="0"/>
              <w:ind w:left="100"/>
              <w:rPr>
                <w:noProof/>
              </w:rPr>
            </w:pPr>
            <w:r>
              <w:rPr>
                <w:noProof/>
              </w:rPr>
              <w:t>10.4</w:t>
            </w:r>
            <w:r w:rsidR="00420C6F">
              <w:rPr>
                <w:noProof/>
              </w:rPr>
              <w:t>,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389DB" w:rsidR="001E41F3" w:rsidRDefault="007365C3">
            <w:pPr>
              <w:pStyle w:val="CRCoverPage"/>
              <w:spacing w:after="0"/>
              <w:ind w:left="100"/>
              <w:rPr>
                <w:noProof/>
              </w:rPr>
            </w:pPr>
            <w:r>
              <w:rPr>
                <w:noProof/>
              </w:rPr>
              <w:t>The change 1) is applicable from Rel-13.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F56BFBC" w14:textId="77777777" w:rsidR="00576E8E" w:rsidRDefault="00576E8E" w:rsidP="00576E8E">
      <w:pPr>
        <w:pStyle w:val="Heading2"/>
      </w:pPr>
      <w:bookmarkStart w:id="2" w:name="_Toc26283710"/>
      <w:bookmarkStart w:id="3" w:name="_Toc106249088"/>
      <w:bookmarkEnd w:id="1"/>
      <w:r>
        <w:t>10.4</w:t>
      </w:r>
      <w:r>
        <w:tab/>
        <w:t>Quality Metrics for DASH</w:t>
      </w:r>
      <w:bookmarkEnd w:id="2"/>
      <w:bookmarkEnd w:id="3"/>
    </w:p>
    <w:p w14:paraId="0E0649AB" w14:textId="77777777" w:rsidR="00576E8E" w:rsidRDefault="00576E8E" w:rsidP="00576E8E">
      <w:r>
        <w:t xml:space="preserve">The following metrics shall be supported by 3GP-DASH clients supporting the </w:t>
      </w:r>
      <w:proofErr w:type="spellStart"/>
      <w:r>
        <w:t>QoE</w:t>
      </w:r>
      <w:proofErr w:type="spellEnd"/>
      <w:r>
        <w:t xml:space="preserve"> reporting feature: </w:t>
      </w:r>
    </w:p>
    <w:p w14:paraId="2244EBB5" w14:textId="77777777" w:rsidR="00576E8E" w:rsidRDefault="00576E8E" w:rsidP="00576E8E">
      <w:pPr>
        <w:pStyle w:val="B1"/>
      </w:pPr>
      <w:r>
        <w:t>-</w:t>
      </w:r>
      <w:r>
        <w:tab/>
        <w:t>List of Representation Switch Events (Clause 10.2.3),</w:t>
      </w:r>
    </w:p>
    <w:p w14:paraId="49133647" w14:textId="77777777" w:rsidR="00576E8E" w:rsidRDefault="00576E8E" w:rsidP="00576E8E">
      <w:pPr>
        <w:pStyle w:val="B1"/>
      </w:pPr>
      <w:r>
        <w:t>-</w:t>
      </w:r>
      <w:r>
        <w:tab/>
        <w:t>Average Throughput (Clause 10.2.4),</w:t>
      </w:r>
    </w:p>
    <w:p w14:paraId="01160C20" w14:textId="77777777" w:rsidR="00576E8E" w:rsidRDefault="00576E8E" w:rsidP="00576E8E">
      <w:pPr>
        <w:pStyle w:val="B1"/>
      </w:pPr>
      <w:r>
        <w:t>-</w:t>
      </w:r>
      <w:r>
        <w:tab/>
        <w:t>Initial Playout Delay (Clause 10.2.5),</w:t>
      </w:r>
    </w:p>
    <w:p w14:paraId="45DBE24B" w14:textId="77777777" w:rsidR="00576E8E" w:rsidRDefault="00576E8E" w:rsidP="00576E8E">
      <w:pPr>
        <w:pStyle w:val="B1"/>
      </w:pPr>
      <w:r>
        <w:t>-</w:t>
      </w:r>
      <w:r>
        <w:tab/>
        <w:t>Buffer Level (Clause 10.2.6),</w:t>
      </w:r>
    </w:p>
    <w:p w14:paraId="1F8539B5" w14:textId="77777777" w:rsidR="00576E8E" w:rsidRDefault="00576E8E" w:rsidP="00576E8E">
      <w:pPr>
        <w:pStyle w:val="B1"/>
      </w:pPr>
      <w:r>
        <w:t>-</w:t>
      </w:r>
      <w:r>
        <w:tab/>
        <w:t>Play List (Clause 10.2.7),</w:t>
      </w:r>
    </w:p>
    <w:p w14:paraId="55038741" w14:textId="0405BD35" w:rsidR="00576E8E" w:rsidRDefault="00576E8E" w:rsidP="00576E8E">
      <w:pPr>
        <w:pStyle w:val="B1"/>
        <w:rPr>
          <w:ins w:id="4" w:author="Lenovo" w:date="2023-02-07T21:26:00Z"/>
          <w:lang w:val="fr-FR"/>
        </w:rPr>
      </w:pPr>
      <w:r>
        <w:rPr>
          <w:lang w:val="fr-FR"/>
        </w:rPr>
        <w:t>-</w:t>
      </w:r>
      <w:r>
        <w:rPr>
          <w:lang w:val="fr-FR"/>
        </w:rPr>
        <w:tab/>
        <w:t>MPD Information (Clause 10.2.8)</w:t>
      </w:r>
      <w:r>
        <w:rPr>
          <w:lang w:val="fr-FR" w:eastAsia="zh-CN"/>
        </w:rPr>
        <w:t>,</w:t>
      </w:r>
      <w:r>
        <w:rPr>
          <w:lang w:val="fr-FR"/>
        </w:rPr>
        <w:t xml:space="preserve"> </w:t>
      </w:r>
    </w:p>
    <w:p w14:paraId="6B383F57" w14:textId="634882CF" w:rsidR="00197D48" w:rsidRDefault="00197D48" w:rsidP="00197D48">
      <w:pPr>
        <w:pStyle w:val="B1"/>
        <w:rPr>
          <w:lang w:val="fr-FR"/>
        </w:rPr>
      </w:pPr>
      <w:ins w:id="5" w:author="Lenovo" w:date="2023-02-07T21:26:00Z">
        <w:r>
          <w:rPr>
            <w:lang w:val="fr-FR"/>
          </w:rPr>
          <w:t>-</w:t>
        </w:r>
        <w:r>
          <w:rPr>
            <w:lang w:val="fr-FR"/>
          </w:rPr>
          <w:tab/>
        </w:r>
      </w:ins>
      <w:proofErr w:type="spellStart"/>
      <w:ins w:id="6" w:author="Lenovo" w:date="2023-02-07T21:27:00Z">
        <w:r>
          <w:rPr>
            <w:lang w:val="fr-FR"/>
          </w:rPr>
          <w:t>Playout</w:t>
        </w:r>
        <w:proofErr w:type="spellEnd"/>
        <w:r>
          <w:rPr>
            <w:lang w:val="fr-FR"/>
          </w:rPr>
          <w:t xml:space="preserve"> Delay for Media Start-up</w:t>
        </w:r>
      </w:ins>
      <w:ins w:id="7" w:author="Lenovo" w:date="2023-02-07T21:26:00Z">
        <w:r>
          <w:rPr>
            <w:lang w:val="fr-FR"/>
          </w:rPr>
          <w:t xml:space="preserve"> (Clause 10.2.</w:t>
        </w:r>
      </w:ins>
      <w:ins w:id="8" w:author="Lenovo" w:date="2023-02-07T21:27:00Z">
        <w:r>
          <w:rPr>
            <w:lang w:val="fr-FR"/>
          </w:rPr>
          <w:t>9</w:t>
        </w:r>
      </w:ins>
      <w:ins w:id="9" w:author="Lenovo" w:date="2023-02-07T21:26:00Z">
        <w:r>
          <w:rPr>
            <w:lang w:val="fr-FR"/>
          </w:rPr>
          <w:t>)</w:t>
        </w:r>
        <w:r>
          <w:rPr>
            <w:lang w:val="fr-FR" w:eastAsia="zh-CN"/>
          </w:rPr>
          <w:t>,</w:t>
        </w:r>
      </w:ins>
    </w:p>
    <w:p w14:paraId="0368B2CA" w14:textId="77777777" w:rsidR="00576E8E" w:rsidRDefault="00576E8E" w:rsidP="00576E8E">
      <w:pPr>
        <w:pStyle w:val="B1"/>
        <w:rPr>
          <w:lang w:val="fr-FR" w:eastAsia="zh-CN"/>
        </w:rPr>
      </w:pPr>
      <w:r>
        <w:rPr>
          <w:lang w:val="fr-FR" w:eastAsia="zh-CN"/>
        </w:rPr>
        <w:t>-</w:t>
      </w:r>
      <w:r>
        <w:rPr>
          <w:lang w:val="fr-FR" w:eastAsia="zh-CN"/>
        </w:rPr>
        <w:tab/>
      </w:r>
      <w:proofErr w:type="spellStart"/>
      <w:r>
        <w:rPr>
          <w:lang w:val="fr-FR" w:eastAsia="zh-CN"/>
        </w:rPr>
        <w:t>Device</w:t>
      </w:r>
      <w:proofErr w:type="spellEnd"/>
      <w:r>
        <w:rPr>
          <w:lang w:val="fr-FR" w:eastAsia="zh-CN"/>
        </w:rPr>
        <w:t xml:space="preserve"> information (Clause 10.2.10).</w:t>
      </w:r>
    </w:p>
    <w:p w14:paraId="629FB19E" w14:textId="77777777" w:rsidR="00576E8E" w:rsidRDefault="00576E8E" w:rsidP="00576E8E">
      <w:r>
        <w:t xml:space="preserve">The </w:t>
      </w:r>
      <w:r>
        <w:rPr>
          <w:rFonts w:ascii="Courier New" w:hAnsi="Courier New" w:cs="Courier New"/>
          <w:sz w:val="18"/>
          <w:szCs w:val="18"/>
        </w:rPr>
        <w:t>@metrics</w:t>
      </w:r>
      <w:r>
        <w:t xml:space="preserve"> attribute contains a list of quality metric keys listing all metrics that the DASH shall collect and report.</w:t>
      </w:r>
    </w:p>
    <w:p w14:paraId="236DEA1E" w14:textId="77777777" w:rsidR="00576E8E" w:rsidRDefault="00576E8E" w:rsidP="00576E8E">
      <w:r>
        <w:t xml:space="preserve">The semantics of the attributes within the </w:t>
      </w:r>
      <w:r>
        <w:rPr>
          <w:rFonts w:ascii="Courier New" w:hAnsi="Courier New" w:cs="Courier New"/>
          <w:b/>
        </w:rPr>
        <w:t>Metrics</w:t>
      </w:r>
      <w:r>
        <w:t xml:space="preserve"> element are provided in Table 32. The XML-syntax of a </w:t>
      </w:r>
      <w:r>
        <w:rPr>
          <w:rFonts w:ascii="Courier New" w:hAnsi="Courier New" w:cs="Courier New"/>
          <w:b/>
        </w:rPr>
        <w:t>Metrics</w:t>
      </w:r>
      <w:r>
        <w:t xml:space="preserve"> element is provided in Table 33. </w:t>
      </w:r>
    </w:p>
    <w:p w14:paraId="4ABB5412" w14:textId="77777777" w:rsidR="00576E8E" w:rsidRDefault="00576E8E" w:rsidP="00576E8E">
      <w:pPr>
        <w:pStyle w:val="TH"/>
      </w:pPr>
      <w:bookmarkStart w:id="10" w:name="tab_qm_semantics"/>
      <w:r>
        <w:t>Table 32</w:t>
      </w:r>
      <w:bookmarkEnd w:id="10"/>
      <w:r>
        <w:t xml:space="preserve">: Semantics of </w:t>
      </w:r>
      <w:r>
        <w:rPr>
          <w:rFonts w:ascii="Courier New" w:hAnsi="Courier New"/>
        </w:rPr>
        <w:t>Metrics</w:t>
      </w:r>
      <w:r>
        <w:t xml:space="preserve"> element</w:t>
      </w:r>
    </w:p>
    <w:tbl>
      <w:tblPr>
        <w:tblW w:w="4950" w:type="pct"/>
        <w:jc w:val="center"/>
        <w:tblBorders>
          <w:top w:val="single" w:sz="4" w:space="0" w:color="000000"/>
          <w:left w:val="single" w:sz="4" w:space="0" w:color="000000"/>
          <w:bottom w:val="single" w:sz="4" w:space="0" w:color="000000"/>
          <w:right w:val="single" w:sz="4" w:space="0" w:color="000000"/>
          <w:insideH w:val="single" w:sz="4" w:space="0" w:color="000000"/>
        </w:tblBorders>
        <w:tblCellMar>
          <w:left w:w="28" w:type="dxa"/>
        </w:tblCellMar>
        <w:tblLook w:val="00A0" w:firstRow="1" w:lastRow="0" w:firstColumn="1" w:lastColumn="0" w:noHBand="0" w:noVBand="0"/>
      </w:tblPr>
      <w:tblGrid>
        <w:gridCol w:w="232"/>
        <w:gridCol w:w="11"/>
        <w:gridCol w:w="219"/>
        <w:gridCol w:w="15"/>
        <w:gridCol w:w="215"/>
        <w:gridCol w:w="2456"/>
        <w:gridCol w:w="1481"/>
        <w:gridCol w:w="4904"/>
      </w:tblGrid>
      <w:tr w:rsidR="00576E8E" w14:paraId="25008E29" w14:textId="77777777" w:rsidTr="00576E8E">
        <w:trPr>
          <w:tblHeader/>
          <w:jc w:val="center"/>
        </w:trPr>
        <w:tc>
          <w:tcPr>
            <w:tcW w:w="1651" w:type="pct"/>
            <w:gridSpan w:val="6"/>
            <w:tcBorders>
              <w:top w:val="single" w:sz="4" w:space="0" w:color="000000"/>
              <w:left w:val="single" w:sz="4" w:space="0" w:color="000000"/>
              <w:bottom w:val="single" w:sz="4" w:space="0" w:color="000000"/>
              <w:right w:val="single" w:sz="4" w:space="0" w:color="000000"/>
            </w:tcBorders>
            <w:hideMark/>
          </w:tcPr>
          <w:p w14:paraId="0F9501D8" w14:textId="77777777" w:rsidR="00576E8E" w:rsidRDefault="00576E8E">
            <w:pPr>
              <w:pStyle w:val="TAH"/>
            </w:pPr>
            <w:r>
              <w:t>Element or Attribute Name</w:t>
            </w:r>
          </w:p>
        </w:tc>
        <w:tc>
          <w:tcPr>
            <w:tcW w:w="777" w:type="pct"/>
            <w:tcBorders>
              <w:top w:val="single" w:sz="4" w:space="0" w:color="000000"/>
              <w:left w:val="single" w:sz="4" w:space="0" w:color="000000"/>
              <w:bottom w:val="single" w:sz="4" w:space="0" w:color="000000"/>
              <w:right w:val="single" w:sz="4" w:space="0" w:color="000000"/>
            </w:tcBorders>
            <w:hideMark/>
          </w:tcPr>
          <w:p w14:paraId="627483FF" w14:textId="77777777" w:rsidR="00576E8E" w:rsidRDefault="00576E8E">
            <w:pPr>
              <w:pStyle w:val="TAH"/>
              <w:rPr>
                <w:szCs w:val="16"/>
              </w:rPr>
            </w:pPr>
            <w:r>
              <w:rPr>
                <w:szCs w:val="16"/>
              </w:rPr>
              <w:t>Use</w:t>
            </w:r>
          </w:p>
        </w:tc>
        <w:tc>
          <w:tcPr>
            <w:tcW w:w="2572" w:type="pct"/>
            <w:tcBorders>
              <w:top w:val="single" w:sz="4" w:space="0" w:color="000000"/>
              <w:left w:val="single" w:sz="4" w:space="0" w:color="000000"/>
              <w:bottom w:val="single" w:sz="4" w:space="0" w:color="000000"/>
              <w:right w:val="single" w:sz="4" w:space="0" w:color="000000"/>
            </w:tcBorders>
            <w:hideMark/>
          </w:tcPr>
          <w:p w14:paraId="2AF8C73F" w14:textId="77777777" w:rsidR="00576E8E" w:rsidRDefault="00576E8E">
            <w:pPr>
              <w:pStyle w:val="TAH"/>
              <w:rPr>
                <w:szCs w:val="16"/>
              </w:rPr>
            </w:pPr>
            <w:r>
              <w:rPr>
                <w:szCs w:val="16"/>
              </w:rPr>
              <w:t>Description</w:t>
            </w:r>
          </w:p>
        </w:tc>
      </w:tr>
      <w:tr w:rsidR="00576E8E" w14:paraId="7AEEC4A5" w14:textId="77777777" w:rsidTr="00576E8E">
        <w:trPr>
          <w:jc w:val="center"/>
        </w:trPr>
        <w:tc>
          <w:tcPr>
            <w:tcW w:w="127" w:type="pct"/>
            <w:gridSpan w:val="2"/>
            <w:tcBorders>
              <w:top w:val="single" w:sz="4" w:space="0" w:color="000000"/>
              <w:left w:val="single" w:sz="4" w:space="0" w:color="000000"/>
              <w:bottom w:val="single" w:sz="4" w:space="0" w:color="000000"/>
              <w:right w:val="nil"/>
            </w:tcBorders>
          </w:tcPr>
          <w:p w14:paraId="215A7F4E" w14:textId="77777777" w:rsidR="00576E8E" w:rsidRDefault="00576E8E">
            <w:pPr>
              <w:rPr>
                <w:sz w:val="18"/>
              </w:rPr>
            </w:pPr>
          </w:p>
        </w:tc>
        <w:tc>
          <w:tcPr>
            <w:tcW w:w="1524" w:type="pct"/>
            <w:gridSpan w:val="4"/>
            <w:tcBorders>
              <w:top w:val="single" w:sz="4" w:space="0" w:color="000000"/>
              <w:left w:val="nil"/>
              <w:bottom w:val="single" w:sz="4" w:space="0" w:color="000000"/>
              <w:right w:val="single" w:sz="4" w:space="0" w:color="000000"/>
            </w:tcBorders>
            <w:hideMark/>
          </w:tcPr>
          <w:p w14:paraId="27D2A6F5" w14:textId="77777777" w:rsidR="00576E8E" w:rsidRDefault="00576E8E">
            <w:pPr>
              <w:rPr>
                <w:rFonts w:ascii="Courier New" w:hAnsi="Courier New" w:cs="Courier New"/>
                <w:b/>
                <w:sz w:val="18"/>
                <w:szCs w:val="18"/>
              </w:rPr>
            </w:pPr>
            <w:r>
              <w:rPr>
                <w:rFonts w:ascii="Courier New" w:hAnsi="Courier New" w:cs="Courier New"/>
                <w:b/>
                <w:sz w:val="18"/>
                <w:szCs w:val="18"/>
              </w:rPr>
              <w:t>Metrics</w:t>
            </w:r>
          </w:p>
        </w:tc>
        <w:tc>
          <w:tcPr>
            <w:tcW w:w="777" w:type="pct"/>
            <w:tcBorders>
              <w:top w:val="single" w:sz="4" w:space="0" w:color="000000"/>
              <w:left w:val="single" w:sz="4" w:space="0" w:color="000000"/>
              <w:bottom w:val="single" w:sz="4" w:space="0" w:color="000000"/>
              <w:right w:val="single" w:sz="4" w:space="0" w:color="000000"/>
            </w:tcBorders>
          </w:tcPr>
          <w:p w14:paraId="575BD3C1" w14:textId="77777777" w:rsidR="00576E8E" w:rsidRDefault="00576E8E">
            <w:pPr>
              <w:pStyle w:val="TAC"/>
            </w:pPr>
          </w:p>
        </w:tc>
        <w:tc>
          <w:tcPr>
            <w:tcW w:w="2572" w:type="pct"/>
            <w:tcBorders>
              <w:top w:val="single" w:sz="4" w:space="0" w:color="000000"/>
              <w:left w:val="single" w:sz="4" w:space="0" w:color="000000"/>
              <w:bottom w:val="single" w:sz="4" w:space="0" w:color="000000"/>
              <w:right w:val="single" w:sz="4" w:space="0" w:color="000000"/>
            </w:tcBorders>
            <w:hideMark/>
          </w:tcPr>
          <w:p w14:paraId="78D76947" w14:textId="77777777" w:rsidR="00576E8E" w:rsidRDefault="00576E8E">
            <w:pPr>
              <w:pStyle w:val="TAL"/>
            </w:pPr>
            <w:r>
              <w:t>DASH metric element</w:t>
            </w:r>
          </w:p>
        </w:tc>
      </w:tr>
      <w:tr w:rsidR="00576E8E" w14:paraId="37FB30D8" w14:textId="77777777" w:rsidTr="00576E8E">
        <w:trPr>
          <w:jc w:val="center"/>
        </w:trPr>
        <w:tc>
          <w:tcPr>
            <w:tcW w:w="127" w:type="pct"/>
            <w:gridSpan w:val="2"/>
            <w:tcBorders>
              <w:top w:val="single" w:sz="4" w:space="0" w:color="000000"/>
              <w:left w:val="single" w:sz="4" w:space="0" w:color="000000"/>
              <w:bottom w:val="single" w:sz="4" w:space="0" w:color="000000"/>
              <w:right w:val="nil"/>
            </w:tcBorders>
          </w:tcPr>
          <w:p w14:paraId="34FAF7E3" w14:textId="77777777" w:rsidR="00576E8E" w:rsidRDefault="00576E8E">
            <w:pPr>
              <w:rPr>
                <w:b/>
                <w:sz w:val="18"/>
              </w:rPr>
            </w:pPr>
          </w:p>
        </w:tc>
        <w:tc>
          <w:tcPr>
            <w:tcW w:w="123" w:type="pct"/>
            <w:gridSpan w:val="2"/>
            <w:tcBorders>
              <w:top w:val="single" w:sz="4" w:space="0" w:color="000000"/>
              <w:left w:val="nil"/>
              <w:bottom w:val="single" w:sz="4" w:space="0" w:color="000000"/>
              <w:right w:val="nil"/>
            </w:tcBorders>
          </w:tcPr>
          <w:p w14:paraId="1B048261" w14:textId="77777777" w:rsidR="00576E8E" w:rsidRDefault="00576E8E">
            <w:pPr>
              <w:rPr>
                <w:b/>
                <w:sz w:val="18"/>
              </w:rPr>
            </w:pPr>
          </w:p>
        </w:tc>
        <w:tc>
          <w:tcPr>
            <w:tcW w:w="1401" w:type="pct"/>
            <w:gridSpan w:val="2"/>
            <w:tcBorders>
              <w:top w:val="single" w:sz="4" w:space="0" w:color="000000"/>
              <w:left w:val="nil"/>
              <w:bottom w:val="single" w:sz="4" w:space="0" w:color="000000"/>
              <w:right w:val="single" w:sz="4" w:space="0" w:color="000000"/>
            </w:tcBorders>
            <w:hideMark/>
          </w:tcPr>
          <w:p w14:paraId="170A7E96" w14:textId="77777777" w:rsidR="00576E8E" w:rsidRDefault="00576E8E">
            <w:pPr>
              <w:rPr>
                <w:rFonts w:ascii="Courier New" w:hAnsi="Courier New" w:cs="Courier New"/>
                <w:sz w:val="18"/>
                <w:szCs w:val="18"/>
              </w:rPr>
            </w:pPr>
            <w:r>
              <w:rPr>
                <w:rFonts w:ascii="Courier New" w:hAnsi="Courier New" w:cs="Courier New"/>
                <w:sz w:val="18"/>
                <w:szCs w:val="18"/>
              </w:rPr>
              <w:t>@metrics</w:t>
            </w:r>
          </w:p>
        </w:tc>
        <w:tc>
          <w:tcPr>
            <w:tcW w:w="777" w:type="pct"/>
            <w:tcBorders>
              <w:top w:val="single" w:sz="4" w:space="0" w:color="000000"/>
              <w:left w:val="single" w:sz="4" w:space="0" w:color="000000"/>
              <w:bottom w:val="single" w:sz="4" w:space="0" w:color="000000"/>
              <w:right w:val="single" w:sz="4" w:space="0" w:color="000000"/>
            </w:tcBorders>
            <w:hideMark/>
          </w:tcPr>
          <w:p w14:paraId="08A6EE94" w14:textId="77777777" w:rsidR="00576E8E" w:rsidRDefault="00576E8E">
            <w:pPr>
              <w:pStyle w:val="TAC"/>
            </w:pPr>
            <w:r>
              <w:t>M</w:t>
            </w:r>
          </w:p>
        </w:tc>
        <w:tc>
          <w:tcPr>
            <w:tcW w:w="2572" w:type="pct"/>
            <w:tcBorders>
              <w:top w:val="single" w:sz="4" w:space="0" w:color="000000"/>
              <w:left w:val="single" w:sz="4" w:space="0" w:color="000000"/>
              <w:bottom w:val="single" w:sz="4" w:space="0" w:color="000000"/>
              <w:right w:val="single" w:sz="4" w:space="0" w:color="000000"/>
            </w:tcBorders>
            <w:hideMark/>
          </w:tcPr>
          <w:p w14:paraId="071B4C15" w14:textId="77777777" w:rsidR="00576E8E" w:rsidRDefault="00576E8E">
            <w:pPr>
              <w:pStyle w:val="TAL"/>
            </w:pPr>
            <w:r>
              <w:t xml:space="preserve">This attribute lists all quality metrics (as a list of quality metric keys as defined in section 10.2, separated by a whitespace) that the client shall report. </w:t>
            </w:r>
          </w:p>
          <w:p w14:paraId="3D426A77" w14:textId="77777777" w:rsidR="00576E8E" w:rsidRDefault="00576E8E">
            <w:pPr>
              <w:pStyle w:val="TAL"/>
            </w:pPr>
            <w:r>
              <w:t>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10.2 with the metric definition itself.</w:t>
            </w:r>
          </w:p>
        </w:tc>
      </w:tr>
      <w:tr w:rsidR="00576E8E" w14:paraId="2055328B" w14:textId="77777777" w:rsidTr="00576E8E">
        <w:trPr>
          <w:jc w:val="center"/>
        </w:trPr>
        <w:tc>
          <w:tcPr>
            <w:tcW w:w="127" w:type="pct"/>
            <w:gridSpan w:val="2"/>
            <w:tcBorders>
              <w:top w:val="single" w:sz="4" w:space="0" w:color="000000"/>
              <w:left w:val="single" w:sz="4" w:space="0" w:color="000000"/>
              <w:bottom w:val="single" w:sz="4" w:space="0" w:color="000000"/>
              <w:right w:val="nil"/>
            </w:tcBorders>
          </w:tcPr>
          <w:p w14:paraId="3A8DB199" w14:textId="77777777" w:rsidR="00576E8E" w:rsidRDefault="00576E8E">
            <w:pPr>
              <w:rPr>
                <w:b/>
                <w:sz w:val="18"/>
              </w:rPr>
            </w:pPr>
          </w:p>
        </w:tc>
        <w:tc>
          <w:tcPr>
            <w:tcW w:w="123" w:type="pct"/>
            <w:gridSpan w:val="2"/>
            <w:tcBorders>
              <w:top w:val="single" w:sz="4" w:space="0" w:color="000000"/>
              <w:left w:val="nil"/>
              <w:bottom w:val="single" w:sz="4" w:space="0" w:color="000000"/>
              <w:right w:val="nil"/>
            </w:tcBorders>
          </w:tcPr>
          <w:p w14:paraId="68E32055" w14:textId="77777777" w:rsidR="00576E8E" w:rsidRDefault="00576E8E">
            <w:pPr>
              <w:rPr>
                <w:b/>
                <w:sz w:val="18"/>
              </w:rPr>
            </w:pPr>
          </w:p>
        </w:tc>
        <w:tc>
          <w:tcPr>
            <w:tcW w:w="1401" w:type="pct"/>
            <w:gridSpan w:val="2"/>
            <w:tcBorders>
              <w:top w:val="single" w:sz="4" w:space="0" w:color="000000"/>
              <w:left w:val="nil"/>
              <w:bottom w:val="single" w:sz="4" w:space="0" w:color="000000"/>
              <w:right w:val="single" w:sz="4" w:space="0" w:color="000000"/>
            </w:tcBorders>
            <w:hideMark/>
          </w:tcPr>
          <w:p w14:paraId="6C5C5057" w14:textId="77777777" w:rsidR="00576E8E" w:rsidRDefault="00576E8E">
            <w:pPr>
              <w:rPr>
                <w:rFonts w:ascii="Courier New" w:hAnsi="Courier New" w:cs="Courier New"/>
                <w:b/>
                <w:sz w:val="18"/>
              </w:rPr>
            </w:pPr>
            <w:r>
              <w:rPr>
                <w:rFonts w:ascii="Courier New" w:hAnsi="Courier New" w:cs="Courier New"/>
                <w:b/>
                <w:sz w:val="18"/>
              </w:rPr>
              <w:t>Range</w:t>
            </w:r>
          </w:p>
        </w:tc>
        <w:tc>
          <w:tcPr>
            <w:tcW w:w="777" w:type="pct"/>
            <w:tcBorders>
              <w:top w:val="single" w:sz="4" w:space="0" w:color="000000"/>
              <w:left w:val="single" w:sz="4" w:space="0" w:color="000000"/>
              <w:bottom w:val="single" w:sz="4" w:space="0" w:color="000000"/>
              <w:right w:val="single" w:sz="4" w:space="0" w:color="000000"/>
            </w:tcBorders>
            <w:hideMark/>
          </w:tcPr>
          <w:p w14:paraId="2C83164A" w14:textId="77777777" w:rsidR="00576E8E" w:rsidRDefault="00576E8E">
            <w:pPr>
              <w:pStyle w:val="TAC"/>
            </w:pPr>
            <w:r>
              <w:t>0..N</w:t>
            </w:r>
          </w:p>
        </w:tc>
        <w:tc>
          <w:tcPr>
            <w:tcW w:w="2572" w:type="pct"/>
            <w:tcBorders>
              <w:top w:val="single" w:sz="4" w:space="0" w:color="000000"/>
              <w:left w:val="single" w:sz="4" w:space="0" w:color="000000"/>
              <w:bottom w:val="single" w:sz="4" w:space="0" w:color="000000"/>
              <w:right w:val="single" w:sz="4" w:space="0" w:color="000000"/>
            </w:tcBorders>
            <w:hideMark/>
          </w:tcPr>
          <w:p w14:paraId="3BFAD1F3" w14:textId="77777777" w:rsidR="00576E8E" w:rsidRDefault="00576E8E">
            <w:pPr>
              <w:pStyle w:val="TAL"/>
            </w:pPr>
            <w:r>
              <w:t>When specified, it indicates the time period during which quality metric collection is requested. When not present, quality metric collection is requested for the whole duration of the content.</w:t>
            </w:r>
          </w:p>
        </w:tc>
      </w:tr>
      <w:tr w:rsidR="00576E8E" w14:paraId="3A3F4C68" w14:textId="77777777" w:rsidTr="00576E8E">
        <w:trPr>
          <w:jc w:val="center"/>
        </w:trPr>
        <w:tc>
          <w:tcPr>
            <w:tcW w:w="121" w:type="pct"/>
            <w:tcBorders>
              <w:top w:val="single" w:sz="4" w:space="0" w:color="000000"/>
              <w:left w:val="single" w:sz="4" w:space="0" w:color="000000"/>
              <w:bottom w:val="single" w:sz="4" w:space="0" w:color="000000"/>
              <w:right w:val="nil"/>
            </w:tcBorders>
          </w:tcPr>
          <w:p w14:paraId="7F80BB1C" w14:textId="77777777" w:rsidR="00576E8E" w:rsidRDefault="00576E8E">
            <w:pPr>
              <w:rPr>
                <w:sz w:val="18"/>
              </w:rPr>
            </w:pPr>
          </w:p>
        </w:tc>
        <w:tc>
          <w:tcPr>
            <w:tcW w:w="121" w:type="pct"/>
            <w:gridSpan w:val="2"/>
            <w:tcBorders>
              <w:top w:val="single" w:sz="4" w:space="0" w:color="000000"/>
              <w:left w:val="nil"/>
              <w:bottom w:val="single" w:sz="4" w:space="0" w:color="000000"/>
              <w:right w:val="nil"/>
            </w:tcBorders>
          </w:tcPr>
          <w:p w14:paraId="08971F5B" w14:textId="77777777" w:rsidR="00576E8E" w:rsidRDefault="00576E8E">
            <w:pPr>
              <w:rPr>
                <w:sz w:val="18"/>
              </w:rPr>
            </w:pPr>
          </w:p>
        </w:tc>
        <w:tc>
          <w:tcPr>
            <w:tcW w:w="121" w:type="pct"/>
            <w:gridSpan w:val="2"/>
            <w:tcBorders>
              <w:top w:val="single" w:sz="4" w:space="0" w:color="000000"/>
              <w:left w:val="nil"/>
              <w:bottom w:val="single" w:sz="4" w:space="0" w:color="000000"/>
              <w:right w:val="nil"/>
            </w:tcBorders>
          </w:tcPr>
          <w:p w14:paraId="289A950A" w14:textId="77777777" w:rsidR="00576E8E" w:rsidRDefault="00576E8E">
            <w:pPr>
              <w:rPr>
                <w:sz w:val="18"/>
              </w:rPr>
            </w:pPr>
          </w:p>
        </w:tc>
        <w:tc>
          <w:tcPr>
            <w:tcW w:w="1288" w:type="pct"/>
            <w:tcBorders>
              <w:top w:val="single" w:sz="4" w:space="0" w:color="000000"/>
              <w:left w:val="nil"/>
              <w:bottom w:val="single" w:sz="4" w:space="0" w:color="000000"/>
              <w:right w:val="single" w:sz="4" w:space="0" w:color="000000"/>
            </w:tcBorders>
            <w:hideMark/>
          </w:tcPr>
          <w:p w14:paraId="4D547633" w14:textId="77777777" w:rsidR="00576E8E" w:rsidRDefault="00576E8E">
            <w:pPr>
              <w:rPr>
                <w:rFonts w:ascii="Courier New" w:hAnsi="Courier New" w:cs="Courier New"/>
                <w:sz w:val="18"/>
                <w:szCs w:val="18"/>
              </w:rPr>
            </w:pPr>
            <w:r>
              <w:rPr>
                <w:rFonts w:ascii="Courier New" w:hAnsi="Courier New" w:cs="Courier New"/>
                <w:sz w:val="18"/>
                <w:szCs w:val="18"/>
              </w:rPr>
              <w:t>@starttime</w:t>
            </w:r>
          </w:p>
        </w:tc>
        <w:tc>
          <w:tcPr>
            <w:tcW w:w="777" w:type="pct"/>
            <w:tcBorders>
              <w:top w:val="single" w:sz="4" w:space="0" w:color="000000"/>
              <w:left w:val="single" w:sz="4" w:space="0" w:color="000000"/>
              <w:bottom w:val="single" w:sz="4" w:space="0" w:color="000000"/>
              <w:right w:val="single" w:sz="4" w:space="0" w:color="000000"/>
            </w:tcBorders>
            <w:hideMark/>
          </w:tcPr>
          <w:p w14:paraId="3C476D00" w14:textId="77777777" w:rsidR="00576E8E" w:rsidRDefault="00576E8E">
            <w:pPr>
              <w:pStyle w:val="TAC"/>
            </w:pPr>
            <w:r>
              <w:t>O</w:t>
            </w:r>
          </w:p>
        </w:tc>
        <w:tc>
          <w:tcPr>
            <w:tcW w:w="2572" w:type="pct"/>
            <w:tcBorders>
              <w:top w:val="single" w:sz="4" w:space="0" w:color="000000"/>
              <w:left w:val="single" w:sz="4" w:space="0" w:color="000000"/>
              <w:bottom w:val="single" w:sz="4" w:space="0" w:color="000000"/>
              <w:right w:val="single" w:sz="4" w:space="0" w:color="000000"/>
            </w:tcBorders>
            <w:hideMark/>
          </w:tcPr>
          <w:p w14:paraId="1B2D771D" w14:textId="77777777" w:rsidR="00576E8E" w:rsidRDefault="00576E8E">
            <w:pPr>
              <w:pStyle w:val="TAL"/>
              <w:rPr>
                <w:highlight w:val="yellow"/>
                <w:lang w:eastAsia="zh-CN"/>
              </w:rPr>
            </w:pPr>
            <w:r>
              <w:t xml:space="preserve">When specified, it indicates the start time of the quality metric collection operation. When not present, quality metric collection is requested from the beginning of content consumption. For services with </w:t>
            </w:r>
            <w:proofErr w:type="spellStart"/>
            <w:r>
              <w:rPr>
                <w:rFonts w:ascii="Courier New" w:hAnsi="Courier New" w:cs="Courier New"/>
                <w:b/>
              </w:rPr>
              <w:t>MPD</w:t>
            </w:r>
            <w:r>
              <w:rPr>
                <w:rFonts w:ascii="Courier New" w:hAnsi="Courier New" w:cs="Courier New"/>
              </w:rPr>
              <w:t>@type</w:t>
            </w:r>
            <w:proofErr w:type="spellEnd"/>
            <w:r>
              <w:t xml:space="preserve"> </w:t>
            </w:r>
            <w:r>
              <w:rPr>
                <w:rFonts w:ascii="Courier New" w:hAnsi="Courier New" w:cs="Courier New"/>
              </w:rPr>
              <w:t>"Live"</w:t>
            </w:r>
            <w:r>
              <w:t xml:space="preserve">, the start time of quality metric collection can be obtained in </w:t>
            </w:r>
            <w:proofErr w:type="spellStart"/>
            <w:r>
              <w:t>wallclock</w:t>
            </w:r>
            <w:proofErr w:type="spellEnd"/>
            <w:r>
              <w:t xml:space="preserve"> time by adding the value of this attribute indicated in media time to the value of the </w:t>
            </w:r>
            <w:proofErr w:type="spellStart"/>
            <w:r>
              <w:rPr>
                <w:rFonts w:ascii="Courier New" w:hAnsi="Courier New" w:cs="Courier New"/>
                <w:b/>
              </w:rPr>
              <w:t>MPD</w:t>
            </w:r>
            <w:r>
              <w:rPr>
                <w:rFonts w:ascii="Courier New" w:hAnsi="Courier New" w:cs="Courier New"/>
              </w:rPr>
              <w:t>@availabilityStartTime</w:t>
            </w:r>
            <w:proofErr w:type="spellEnd"/>
            <w:r>
              <w:t xml:space="preserve"> attribute. For services with</w:t>
            </w:r>
            <w:r>
              <w:rPr>
                <w:b/>
              </w:rPr>
              <w:t xml:space="preserve"> </w:t>
            </w:r>
            <w:proofErr w:type="spellStart"/>
            <w:r>
              <w:rPr>
                <w:rFonts w:ascii="Courier New" w:hAnsi="Courier New" w:cs="Courier New"/>
                <w:b/>
              </w:rPr>
              <w:t>MPD</w:t>
            </w:r>
            <w:r>
              <w:rPr>
                <w:rFonts w:ascii="Courier New" w:hAnsi="Courier New" w:cs="Courier New"/>
              </w:rPr>
              <w:t>@type</w:t>
            </w:r>
            <w:proofErr w:type="spellEnd"/>
            <w:r>
              <w:t xml:space="preserve"> </w:t>
            </w:r>
            <w:r>
              <w:rPr>
                <w:rFonts w:ascii="Courier New" w:hAnsi="Courier New" w:cs="Courier New"/>
              </w:rPr>
              <w:t>"OnDemand"</w:t>
            </w:r>
            <w:r>
              <w:t xml:space="preserve"> , the start time is indicated in media time and is relative to the </w:t>
            </w:r>
            <w:proofErr w:type="spellStart"/>
            <w:r>
              <w:rPr>
                <w:i/>
              </w:rPr>
              <w:t>PeriodStart</w:t>
            </w:r>
            <w:proofErr w:type="spellEnd"/>
            <w:r>
              <w:t xml:space="preserve"> time of the first period in this MPD.</w:t>
            </w:r>
          </w:p>
        </w:tc>
      </w:tr>
      <w:tr w:rsidR="00576E8E" w14:paraId="4466086A" w14:textId="77777777" w:rsidTr="00576E8E">
        <w:trPr>
          <w:jc w:val="center"/>
        </w:trPr>
        <w:tc>
          <w:tcPr>
            <w:tcW w:w="121" w:type="pct"/>
            <w:tcBorders>
              <w:top w:val="single" w:sz="4" w:space="0" w:color="000000"/>
              <w:left w:val="single" w:sz="4" w:space="0" w:color="000000"/>
              <w:bottom w:val="single" w:sz="4" w:space="0" w:color="000000"/>
              <w:right w:val="nil"/>
            </w:tcBorders>
          </w:tcPr>
          <w:p w14:paraId="29630674" w14:textId="77777777" w:rsidR="00576E8E" w:rsidRDefault="00576E8E">
            <w:pPr>
              <w:rPr>
                <w:sz w:val="18"/>
              </w:rPr>
            </w:pPr>
          </w:p>
        </w:tc>
        <w:tc>
          <w:tcPr>
            <w:tcW w:w="121" w:type="pct"/>
            <w:gridSpan w:val="2"/>
            <w:tcBorders>
              <w:top w:val="single" w:sz="4" w:space="0" w:color="000000"/>
              <w:left w:val="nil"/>
              <w:bottom w:val="single" w:sz="4" w:space="0" w:color="000000"/>
              <w:right w:val="nil"/>
            </w:tcBorders>
          </w:tcPr>
          <w:p w14:paraId="56FB4D5B" w14:textId="77777777" w:rsidR="00576E8E" w:rsidRDefault="00576E8E">
            <w:pPr>
              <w:rPr>
                <w:sz w:val="18"/>
              </w:rPr>
            </w:pPr>
          </w:p>
        </w:tc>
        <w:tc>
          <w:tcPr>
            <w:tcW w:w="121" w:type="pct"/>
            <w:gridSpan w:val="2"/>
            <w:tcBorders>
              <w:top w:val="single" w:sz="4" w:space="0" w:color="000000"/>
              <w:left w:val="nil"/>
              <w:bottom w:val="single" w:sz="4" w:space="0" w:color="000000"/>
              <w:right w:val="nil"/>
            </w:tcBorders>
          </w:tcPr>
          <w:p w14:paraId="01D38543" w14:textId="77777777" w:rsidR="00576E8E" w:rsidRDefault="00576E8E">
            <w:pPr>
              <w:rPr>
                <w:sz w:val="18"/>
              </w:rPr>
            </w:pPr>
          </w:p>
        </w:tc>
        <w:tc>
          <w:tcPr>
            <w:tcW w:w="1288" w:type="pct"/>
            <w:tcBorders>
              <w:top w:val="single" w:sz="4" w:space="0" w:color="000000"/>
              <w:left w:val="nil"/>
              <w:bottom w:val="single" w:sz="4" w:space="0" w:color="000000"/>
              <w:right w:val="single" w:sz="4" w:space="0" w:color="000000"/>
            </w:tcBorders>
            <w:hideMark/>
          </w:tcPr>
          <w:p w14:paraId="2AAC0FB7" w14:textId="77777777" w:rsidR="00576E8E" w:rsidRDefault="00576E8E">
            <w:pPr>
              <w:rPr>
                <w:rFonts w:ascii="Courier New" w:hAnsi="Courier New" w:cs="Courier New"/>
                <w:sz w:val="18"/>
                <w:szCs w:val="18"/>
              </w:rPr>
            </w:pPr>
            <w:r>
              <w:rPr>
                <w:rFonts w:ascii="Courier New" w:hAnsi="Courier New" w:cs="Courier New"/>
                <w:sz w:val="18"/>
                <w:szCs w:val="18"/>
              </w:rPr>
              <w:t>@duration</w:t>
            </w:r>
          </w:p>
        </w:tc>
        <w:tc>
          <w:tcPr>
            <w:tcW w:w="777" w:type="pct"/>
            <w:tcBorders>
              <w:top w:val="single" w:sz="4" w:space="0" w:color="000000"/>
              <w:left w:val="single" w:sz="4" w:space="0" w:color="000000"/>
              <w:bottom w:val="single" w:sz="4" w:space="0" w:color="000000"/>
              <w:right w:val="single" w:sz="4" w:space="0" w:color="000000"/>
            </w:tcBorders>
            <w:hideMark/>
          </w:tcPr>
          <w:p w14:paraId="25E3B80D" w14:textId="77777777" w:rsidR="00576E8E" w:rsidRDefault="00576E8E">
            <w:pPr>
              <w:pStyle w:val="TAC"/>
              <w:rPr>
                <w:lang w:eastAsia="zh-CN"/>
              </w:rPr>
            </w:pPr>
            <w:r>
              <w:rPr>
                <w:lang w:eastAsia="zh-CN"/>
              </w:rPr>
              <w:t>O</w:t>
            </w:r>
          </w:p>
        </w:tc>
        <w:tc>
          <w:tcPr>
            <w:tcW w:w="2572" w:type="pct"/>
            <w:tcBorders>
              <w:top w:val="single" w:sz="4" w:space="0" w:color="000000"/>
              <w:left w:val="single" w:sz="4" w:space="0" w:color="000000"/>
              <w:bottom w:val="single" w:sz="4" w:space="0" w:color="000000"/>
              <w:right w:val="single" w:sz="4" w:space="0" w:color="000000"/>
            </w:tcBorders>
            <w:hideMark/>
          </w:tcPr>
          <w:p w14:paraId="2C1889AA" w14:textId="77777777" w:rsidR="00576E8E" w:rsidRDefault="00576E8E">
            <w:pPr>
              <w:pStyle w:val="TAL"/>
              <w:rPr>
                <w:highlight w:val="yellow"/>
              </w:rPr>
            </w:pPr>
            <w:r>
              <w:t>When specified, it indicates the duration of the quality metric collection period. The value of this attribute is expressed in media time.</w:t>
            </w:r>
          </w:p>
        </w:tc>
      </w:tr>
      <w:tr w:rsidR="00576E8E" w14:paraId="27C29DD3" w14:textId="77777777" w:rsidTr="00576E8E">
        <w:trPr>
          <w:jc w:val="center"/>
        </w:trPr>
        <w:tc>
          <w:tcPr>
            <w:tcW w:w="127" w:type="pct"/>
            <w:gridSpan w:val="2"/>
            <w:tcBorders>
              <w:top w:val="single" w:sz="4" w:space="0" w:color="000000"/>
              <w:left w:val="single" w:sz="4" w:space="0" w:color="000000"/>
              <w:bottom w:val="single" w:sz="4" w:space="0" w:color="000000"/>
              <w:right w:val="nil"/>
            </w:tcBorders>
          </w:tcPr>
          <w:p w14:paraId="195D9331" w14:textId="77777777" w:rsidR="00576E8E" w:rsidRDefault="00576E8E">
            <w:pPr>
              <w:rPr>
                <w:b/>
                <w:sz w:val="18"/>
              </w:rPr>
            </w:pPr>
          </w:p>
        </w:tc>
        <w:tc>
          <w:tcPr>
            <w:tcW w:w="123" w:type="pct"/>
            <w:gridSpan w:val="2"/>
            <w:tcBorders>
              <w:top w:val="single" w:sz="4" w:space="0" w:color="000000"/>
              <w:left w:val="nil"/>
              <w:bottom w:val="single" w:sz="4" w:space="0" w:color="000000"/>
              <w:right w:val="nil"/>
            </w:tcBorders>
          </w:tcPr>
          <w:p w14:paraId="35E4799F" w14:textId="77777777" w:rsidR="00576E8E" w:rsidRDefault="00576E8E">
            <w:pPr>
              <w:rPr>
                <w:b/>
                <w:sz w:val="18"/>
              </w:rPr>
            </w:pPr>
          </w:p>
        </w:tc>
        <w:tc>
          <w:tcPr>
            <w:tcW w:w="1401" w:type="pct"/>
            <w:gridSpan w:val="2"/>
            <w:tcBorders>
              <w:top w:val="single" w:sz="4" w:space="0" w:color="000000"/>
              <w:left w:val="nil"/>
              <w:bottom w:val="single" w:sz="4" w:space="0" w:color="000000"/>
              <w:right w:val="single" w:sz="4" w:space="0" w:color="000000"/>
            </w:tcBorders>
            <w:hideMark/>
          </w:tcPr>
          <w:p w14:paraId="191A92CB" w14:textId="77777777" w:rsidR="00576E8E" w:rsidRDefault="00576E8E">
            <w:pPr>
              <w:rPr>
                <w:rFonts w:ascii="Courier New" w:hAnsi="Courier New" w:cs="Courier New"/>
                <w:b/>
                <w:sz w:val="18"/>
              </w:rPr>
            </w:pPr>
            <w:r>
              <w:rPr>
                <w:rFonts w:ascii="Courier New" w:hAnsi="Courier New" w:cs="Courier New"/>
                <w:b/>
                <w:sz w:val="18"/>
              </w:rPr>
              <w:t>Reporting</w:t>
            </w:r>
          </w:p>
        </w:tc>
        <w:tc>
          <w:tcPr>
            <w:tcW w:w="777" w:type="pct"/>
            <w:tcBorders>
              <w:top w:val="single" w:sz="4" w:space="0" w:color="000000"/>
              <w:left w:val="single" w:sz="4" w:space="0" w:color="000000"/>
              <w:bottom w:val="single" w:sz="4" w:space="0" w:color="000000"/>
              <w:right w:val="single" w:sz="4" w:space="0" w:color="000000"/>
            </w:tcBorders>
            <w:hideMark/>
          </w:tcPr>
          <w:p w14:paraId="2B7E3AE8" w14:textId="77777777" w:rsidR="00576E8E" w:rsidRDefault="00576E8E">
            <w:pPr>
              <w:pStyle w:val="TAC"/>
            </w:pPr>
            <w:r>
              <w:t>1...N</w:t>
            </w:r>
          </w:p>
        </w:tc>
        <w:tc>
          <w:tcPr>
            <w:tcW w:w="2572" w:type="pct"/>
            <w:tcBorders>
              <w:top w:val="single" w:sz="4" w:space="0" w:color="000000"/>
              <w:left w:val="single" w:sz="4" w:space="0" w:color="000000"/>
              <w:bottom w:val="single" w:sz="4" w:space="0" w:color="000000"/>
              <w:right w:val="single" w:sz="4" w:space="0" w:color="000000"/>
            </w:tcBorders>
            <w:hideMark/>
          </w:tcPr>
          <w:p w14:paraId="24A6A2DC" w14:textId="77777777" w:rsidR="00576E8E" w:rsidRDefault="00576E8E">
            <w:pPr>
              <w:pStyle w:val="TAL"/>
            </w:pPr>
            <w:r>
              <w:t>Descriptors that provide information about the requested Quality Reporting method and formats, and Auxiliary Reporting method and format. See clause 10.5 for the 3GP-DASH quality reporting schemes, and clause 14 for the 3GP-DASH auxiliary reporting scheme.</w:t>
            </w:r>
          </w:p>
        </w:tc>
      </w:tr>
      <w:tr w:rsidR="00576E8E" w14:paraId="383BF9D3" w14:textId="77777777" w:rsidTr="00576E8E">
        <w:trPr>
          <w:jc w:val="center"/>
        </w:trPr>
        <w:tc>
          <w:tcPr>
            <w:tcW w:w="5000" w:type="pct"/>
            <w:gridSpan w:val="8"/>
            <w:tcBorders>
              <w:top w:val="single" w:sz="4" w:space="0" w:color="000000"/>
              <w:left w:val="single" w:sz="4" w:space="0" w:color="000000"/>
              <w:bottom w:val="single" w:sz="4" w:space="0" w:color="000000"/>
              <w:right w:val="single" w:sz="4" w:space="0" w:color="000000"/>
            </w:tcBorders>
            <w:hideMark/>
          </w:tcPr>
          <w:p w14:paraId="702D8190" w14:textId="77777777" w:rsidR="00576E8E" w:rsidRDefault="00576E8E">
            <w:pPr>
              <w:pStyle w:val="TH"/>
              <w:spacing w:before="0" w:after="0"/>
              <w:jc w:val="left"/>
              <w:rPr>
                <w:sz w:val="18"/>
              </w:rPr>
            </w:pPr>
            <w:r>
              <w:rPr>
                <w:sz w:val="18"/>
              </w:rPr>
              <w:lastRenderedPageBreak/>
              <w:t xml:space="preserve">Legend: </w:t>
            </w:r>
          </w:p>
          <w:p w14:paraId="1CD07052" w14:textId="77777777" w:rsidR="00576E8E" w:rsidRDefault="00576E8E">
            <w:pPr>
              <w:pStyle w:val="TH"/>
              <w:spacing w:before="0" w:after="0"/>
              <w:ind w:left="360"/>
              <w:jc w:val="left"/>
              <w:rPr>
                <w:b w:val="0"/>
                <w:sz w:val="18"/>
              </w:rPr>
            </w:pPr>
            <w:r>
              <w:rPr>
                <w:b w:val="0"/>
                <w:sz w:val="18"/>
              </w:rPr>
              <w:t>For attributes: M=Mandatory, O=Optional, OD=Optional with Default Value, CM=Conditionally Mandatory.</w:t>
            </w:r>
          </w:p>
          <w:p w14:paraId="0371A8C6" w14:textId="77777777" w:rsidR="00576E8E" w:rsidRDefault="00576E8E">
            <w:pPr>
              <w:pStyle w:val="TH"/>
              <w:spacing w:before="0" w:after="0"/>
              <w:ind w:left="360"/>
              <w:jc w:val="left"/>
              <w:rPr>
                <w:b w:val="0"/>
                <w:sz w:val="18"/>
              </w:rPr>
            </w:pPr>
            <w:r>
              <w:rPr>
                <w:b w:val="0"/>
                <w:sz w:val="18"/>
              </w:rPr>
              <w:t>For elements: &lt;minOccurs&gt;...&lt;</w:t>
            </w:r>
            <w:proofErr w:type="spellStart"/>
            <w:r>
              <w:rPr>
                <w:b w:val="0"/>
                <w:sz w:val="18"/>
              </w:rPr>
              <w:t>maxOccurs</w:t>
            </w:r>
            <w:proofErr w:type="spellEnd"/>
            <w:r>
              <w:rPr>
                <w:b w:val="0"/>
                <w:sz w:val="18"/>
              </w:rPr>
              <w:t>&gt; (N=unbounded)</w:t>
            </w:r>
          </w:p>
          <w:p w14:paraId="3A646323" w14:textId="77777777" w:rsidR="00576E8E" w:rsidRDefault="00576E8E">
            <w:pPr>
              <w:pStyle w:val="TH"/>
              <w:spacing w:before="0" w:after="0"/>
              <w:jc w:val="left"/>
              <w:rPr>
                <w:b w:val="0"/>
                <w:sz w:val="18"/>
              </w:rPr>
            </w:pPr>
            <w:r>
              <w:rPr>
                <w:b w:val="0"/>
                <w:sz w:val="18"/>
              </w:rPr>
              <w:t xml:space="preserve">Elements are </w:t>
            </w:r>
            <w:r>
              <w:rPr>
                <w:sz w:val="18"/>
              </w:rPr>
              <w:t>bold</w:t>
            </w:r>
            <w:r>
              <w:rPr>
                <w:b w:val="0"/>
                <w:sz w:val="18"/>
              </w:rPr>
              <w:t>; attributes are non-bold and preceded with an @.</w:t>
            </w:r>
          </w:p>
        </w:tc>
      </w:tr>
    </w:tbl>
    <w:p w14:paraId="6FEBF1C2" w14:textId="77777777" w:rsidR="00576E8E" w:rsidRDefault="00576E8E" w:rsidP="00576E8E"/>
    <w:p w14:paraId="49A6A513" w14:textId="77777777" w:rsidR="00576E8E" w:rsidRDefault="00576E8E" w:rsidP="00576E8E">
      <w:pPr>
        <w:pStyle w:val="TH"/>
      </w:pPr>
      <w:bookmarkStart w:id="11" w:name="tab_qm_xml"/>
      <w:r>
        <w:t>Table 33</w:t>
      </w:r>
      <w:bookmarkEnd w:id="11"/>
      <w:r>
        <w:t xml:space="preserve">: XML-Syntax of </w:t>
      </w:r>
      <w:r>
        <w:rPr>
          <w:rFonts w:ascii="Courier New" w:hAnsi="Courier New" w:cs="Courier New"/>
        </w:rPr>
        <w:t xml:space="preserve">Metrics </w:t>
      </w:r>
      <w:r>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576E8E" w14:paraId="1355427E" w14:textId="77777777" w:rsidTr="00576E8E">
        <w:tc>
          <w:tcPr>
            <w:tcW w:w="9892" w:type="dxa"/>
            <w:tcBorders>
              <w:top w:val="single" w:sz="4" w:space="0" w:color="auto"/>
              <w:left w:val="single" w:sz="4" w:space="0" w:color="auto"/>
              <w:bottom w:val="single" w:sz="4" w:space="0" w:color="auto"/>
              <w:right w:val="single" w:sz="4" w:space="0" w:color="auto"/>
            </w:tcBorders>
            <w:shd w:val="clear" w:color="auto" w:fill="E6E6E6"/>
            <w:hideMark/>
          </w:tcPr>
          <w:p w14:paraId="19179EA6" w14:textId="77777777" w:rsidR="00576E8E" w:rsidRDefault="00576E8E">
            <w:pPr>
              <w:pStyle w:val="PL"/>
              <w:rPr>
                <w:color w:val="000096"/>
              </w:rPr>
            </w:pPr>
            <w:r>
              <w:rPr>
                <w:color w:val="000000"/>
              </w:rPr>
              <w:t xml:space="preserve">    </w:t>
            </w:r>
            <w:r>
              <w:rPr>
                <w:color w:val="006400"/>
              </w:rPr>
              <w:t>&lt;!-- QoE Collection and Reporting --&gt;</w:t>
            </w:r>
            <w:r>
              <w:rPr>
                <w:color w:val="000000"/>
              </w:rPr>
              <w:br/>
              <w:t xml:space="preserve">    </w:t>
            </w:r>
            <w:r>
              <w:rPr>
                <w:color w:val="003296"/>
              </w:rPr>
              <w:t>&lt;xs:complexType</w:t>
            </w:r>
            <w:r>
              <w:rPr>
                <w:color w:val="F5844C"/>
              </w:rPr>
              <w:t xml:space="preserve"> name</w:t>
            </w:r>
            <w:r>
              <w:rPr>
                <w:color w:val="FF8040"/>
              </w:rPr>
              <w:t>=</w:t>
            </w:r>
            <w:r>
              <w:t>"MetricsType"</w:t>
            </w:r>
            <w:r>
              <w:rPr>
                <w:color w:val="000096"/>
              </w:rPr>
              <w:t>&gt;</w:t>
            </w:r>
            <w:r>
              <w:rPr>
                <w:color w:val="000000"/>
              </w:rPr>
              <w:br/>
              <w:t xml:space="preserve">        </w:t>
            </w:r>
            <w:r>
              <w:rPr>
                <w:color w:val="003296"/>
              </w:rPr>
              <w:t>&lt;xs:sequence&gt;</w:t>
            </w:r>
            <w:r>
              <w:rPr>
                <w:color w:val="000000"/>
              </w:rPr>
              <w:br/>
              <w:t xml:space="preserve">            </w:t>
            </w:r>
            <w:r>
              <w:rPr>
                <w:color w:val="003296"/>
              </w:rPr>
              <w:t>&lt;xs:element</w:t>
            </w:r>
            <w:r>
              <w:rPr>
                <w:color w:val="F5844C"/>
              </w:rPr>
              <w:t xml:space="preserve"> name</w:t>
            </w:r>
            <w:r>
              <w:rPr>
                <w:color w:val="FF8040"/>
              </w:rPr>
              <w:t>=</w:t>
            </w:r>
            <w:r>
              <w:t>"Reporting"</w:t>
            </w:r>
            <w:r>
              <w:rPr>
                <w:color w:val="F5844C"/>
              </w:rPr>
              <w:t xml:space="preserve"> type</w:t>
            </w:r>
            <w:r>
              <w:rPr>
                <w:color w:val="FF8040"/>
              </w:rPr>
              <w:t>=</w:t>
            </w:r>
            <w:r>
              <w:t>"DescriptorType"</w:t>
            </w:r>
            <w:r>
              <w:rPr>
                <w:color w:val="F5844C"/>
              </w:rPr>
              <w:t xml:space="preserve"> maxOccurs</w:t>
            </w:r>
            <w:r>
              <w:rPr>
                <w:color w:val="FF8040"/>
              </w:rPr>
              <w:t>=</w:t>
            </w:r>
            <w:r>
              <w:t>"unbounded"</w:t>
            </w:r>
            <w:r>
              <w:rPr>
                <w:color w:val="000096"/>
              </w:rPr>
              <w:t>/&gt;</w:t>
            </w:r>
            <w:r>
              <w:rPr>
                <w:color w:val="000000"/>
              </w:rPr>
              <w:br/>
              <w:t xml:space="preserve">            </w:t>
            </w:r>
            <w:r>
              <w:rPr>
                <w:color w:val="003296"/>
              </w:rPr>
              <w:t>&lt;xs:element</w:t>
            </w:r>
            <w:r>
              <w:rPr>
                <w:color w:val="F5844C"/>
              </w:rPr>
              <w:t xml:space="preserve"> name</w:t>
            </w:r>
            <w:r>
              <w:rPr>
                <w:color w:val="FF8040"/>
              </w:rPr>
              <w:t>=</w:t>
            </w:r>
            <w:r>
              <w:t>"Range"</w:t>
            </w:r>
            <w:r>
              <w:rPr>
                <w:color w:val="F5844C"/>
              </w:rPr>
              <w:t xml:space="preserve"> type</w:t>
            </w:r>
            <w:r>
              <w:rPr>
                <w:color w:val="FF8040"/>
              </w:rPr>
              <w:t>=</w:t>
            </w:r>
            <w:r>
              <w:t>"RangeType"</w:t>
            </w:r>
            <w:r>
              <w:rPr>
                <w:color w:val="F5844C"/>
              </w:rPr>
              <w:t xml:space="preserve"> minOccurs</w:t>
            </w:r>
            <w:r>
              <w:rPr>
                <w:color w:val="FF8040"/>
              </w:rPr>
              <w:t>=</w:t>
            </w:r>
            <w:r>
              <w:t>"0"</w:t>
            </w:r>
            <w:r>
              <w:rPr>
                <w:color w:val="F5844C"/>
              </w:rPr>
              <w:t xml:space="preserve"> maxOccurs</w:t>
            </w:r>
            <w:r>
              <w:rPr>
                <w:color w:val="FF8040"/>
              </w:rPr>
              <w:t>=</w:t>
            </w:r>
            <w:r>
              <w:t>"unbounded"</w:t>
            </w:r>
            <w:r>
              <w:rPr>
                <w:color w:val="000096"/>
              </w:rPr>
              <w:t>/&gt;</w:t>
            </w:r>
          </w:p>
          <w:p w14:paraId="3A2E0A7D" w14:textId="77777777" w:rsidR="00576E8E" w:rsidRDefault="00576E8E">
            <w:pPr>
              <w:pStyle w:val="PL"/>
            </w:pPr>
            <w:r>
              <w:rPr>
                <w:color w:val="000000"/>
              </w:rPr>
              <w:t xml:space="preserve">            </w:t>
            </w:r>
            <w:r>
              <w:rPr>
                <w:color w:val="003296"/>
              </w:rPr>
              <w:t>&lt;xs:any</w:t>
            </w:r>
            <w:r>
              <w:rPr>
                <w:color w:val="F5844C"/>
              </w:rPr>
              <w:t xml:space="preserve"> namespace</w:t>
            </w:r>
            <w:r>
              <w:rPr>
                <w:color w:val="FF8040"/>
              </w:rPr>
              <w:t>=</w:t>
            </w:r>
            <w:r>
              <w:t>"##other"</w:t>
            </w:r>
            <w:r>
              <w:rPr>
                <w:color w:val="F5844C"/>
              </w:rPr>
              <w:t xml:space="preserve"> processContents</w:t>
            </w:r>
            <w:r>
              <w:rPr>
                <w:color w:val="FF8040"/>
              </w:rPr>
              <w:t>=</w:t>
            </w:r>
            <w:r>
              <w:t>"lax"</w:t>
            </w:r>
            <w:r>
              <w:rPr>
                <w:color w:val="F5844C"/>
              </w:rPr>
              <w:t xml:space="preserve"> minOccurs</w:t>
            </w:r>
            <w:r>
              <w:rPr>
                <w:color w:val="FF8040"/>
              </w:rPr>
              <w:t>=</w:t>
            </w:r>
            <w:r>
              <w:t>"0"</w:t>
            </w:r>
            <w:r>
              <w:rPr>
                <w:color w:val="F5844C"/>
              </w:rPr>
              <w:t xml:space="preserve"> maxOccurs</w:t>
            </w:r>
            <w:r>
              <w:rPr>
                <w:color w:val="FF8040"/>
              </w:rPr>
              <w:t>=</w:t>
            </w:r>
            <w:r>
              <w:t>"unbounded"</w:t>
            </w:r>
            <w:r>
              <w:rPr>
                <w:color w:val="000096"/>
              </w:rPr>
              <w:t>/&gt;</w:t>
            </w:r>
            <w:r>
              <w:rPr>
                <w:color w:val="000000"/>
              </w:rPr>
              <w:br/>
              <w:t xml:space="preserve">        </w:t>
            </w:r>
            <w:r>
              <w:rPr>
                <w:color w:val="003296"/>
              </w:rPr>
              <w:t>&lt;/xs:sequence&gt;</w:t>
            </w:r>
            <w:r>
              <w:rPr>
                <w:color w:val="000000"/>
              </w:rPr>
              <w:br/>
              <w:t xml:space="preserve">        </w:t>
            </w:r>
            <w:r>
              <w:rPr>
                <w:color w:val="003296"/>
              </w:rPr>
              <w:t>&lt;xs:attribute</w:t>
            </w:r>
            <w:r>
              <w:rPr>
                <w:color w:val="F5844C"/>
              </w:rPr>
              <w:t xml:space="preserve"> name</w:t>
            </w:r>
            <w:r>
              <w:rPr>
                <w:color w:val="FF8040"/>
              </w:rPr>
              <w:t>=</w:t>
            </w:r>
            <w:r>
              <w:t>"metrics"</w:t>
            </w:r>
            <w:r>
              <w:rPr>
                <w:color w:val="F5844C"/>
              </w:rPr>
              <w:t xml:space="preserve"> type</w:t>
            </w:r>
            <w:r>
              <w:rPr>
                <w:color w:val="FF8040"/>
              </w:rPr>
              <w:t>=</w:t>
            </w:r>
            <w:r>
              <w:t>"xs:string"</w:t>
            </w:r>
            <w:r>
              <w:rPr>
                <w:color w:val="F5844C"/>
              </w:rPr>
              <w:t xml:space="preserve"> use</w:t>
            </w:r>
            <w:r>
              <w:rPr>
                <w:color w:val="FF8040"/>
              </w:rPr>
              <w:t>=</w:t>
            </w:r>
            <w:r>
              <w:t>"required"</w:t>
            </w:r>
            <w:r>
              <w:rPr>
                <w:color w:val="000096"/>
              </w:rPr>
              <w:t>/&gt;</w:t>
            </w:r>
            <w:r>
              <w:rPr>
                <w:color w:val="000000"/>
              </w:rPr>
              <w:br/>
              <w:t xml:space="preserve">        </w:t>
            </w:r>
            <w:r>
              <w:rPr>
                <w:color w:val="003296"/>
              </w:rPr>
              <w:t>&lt;xs:anyAttribute</w:t>
            </w:r>
            <w:r>
              <w:rPr>
                <w:color w:val="F5844C"/>
              </w:rPr>
              <w:t xml:space="preserve"> namespace</w:t>
            </w:r>
            <w:r>
              <w:rPr>
                <w:color w:val="FF8040"/>
              </w:rPr>
              <w:t>=</w:t>
            </w:r>
            <w:r>
              <w:t>"##other"</w:t>
            </w:r>
            <w:r>
              <w:rPr>
                <w:color w:val="F5844C"/>
              </w:rPr>
              <w:t xml:space="preserve"> processContents</w:t>
            </w:r>
            <w:r>
              <w:rPr>
                <w:color w:val="FF8040"/>
              </w:rPr>
              <w:t>=</w:t>
            </w:r>
            <w:r>
              <w:t>"lax"</w:t>
            </w:r>
            <w:r>
              <w:rPr>
                <w:color w:val="000096"/>
              </w:rPr>
              <w:t>/&gt;</w:t>
            </w:r>
            <w:r>
              <w:rPr>
                <w:color w:val="000000"/>
              </w:rPr>
              <w:br/>
              <w:t xml:space="preserve">    </w:t>
            </w:r>
            <w:r>
              <w:rPr>
                <w:color w:val="003296"/>
              </w:rPr>
              <w:t>&lt;/xs:complexType&gt;</w:t>
            </w:r>
            <w:r>
              <w:rPr>
                <w:color w:val="000000"/>
              </w:rPr>
              <w:br/>
            </w:r>
            <w:r>
              <w:rPr>
                <w:color w:val="000000"/>
              </w:rPr>
              <w:br/>
              <w:t xml:space="preserve">    </w:t>
            </w:r>
            <w:r>
              <w:rPr>
                <w:color w:val="003296"/>
              </w:rPr>
              <w:t>&lt;xs:complexType</w:t>
            </w:r>
            <w:r>
              <w:rPr>
                <w:color w:val="F5844C"/>
              </w:rPr>
              <w:t xml:space="preserve"> name</w:t>
            </w:r>
            <w:r>
              <w:rPr>
                <w:color w:val="FF8040"/>
              </w:rPr>
              <w:t>=</w:t>
            </w:r>
            <w:r>
              <w:t>"RangeType"</w:t>
            </w:r>
            <w:r>
              <w:rPr>
                <w:color w:val="000096"/>
              </w:rPr>
              <w:t>&gt;</w:t>
            </w:r>
            <w:r>
              <w:rPr>
                <w:color w:val="000000"/>
              </w:rPr>
              <w:br/>
              <w:t xml:space="preserve">        </w:t>
            </w:r>
            <w:r>
              <w:rPr>
                <w:color w:val="003296"/>
              </w:rPr>
              <w:t>&lt;xs:sequence&gt;</w:t>
            </w:r>
            <w:r>
              <w:rPr>
                <w:color w:val="000000"/>
              </w:rPr>
              <w:br/>
              <w:t xml:space="preserve">            </w:t>
            </w:r>
            <w:r>
              <w:rPr>
                <w:color w:val="003296"/>
              </w:rPr>
              <w:t>&lt;xs:any</w:t>
            </w:r>
            <w:r>
              <w:rPr>
                <w:color w:val="F5844C"/>
              </w:rPr>
              <w:t xml:space="preserve"> namespace</w:t>
            </w:r>
            <w:r>
              <w:rPr>
                <w:color w:val="FF8040"/>
              </w:rPr>
              <w:t>=</w:t>
            </w:r>
            <w:r>
              <w:t>"##other"</w:t>
            </w:r>
            <w:r>
              <w:rPr>
                <w:color w:val="F5844C"/>
              </w:rPr>
              <w:t xml:space="preserve"> processContents</w:t>
            </w:r>
            <w:r>
              <w:rPr>
                <w:color w:val="FF8040"/>
              </w:rPr>
              <w:t>=</w:t>
            </w:r>
            <w:r>
              <w:t>"lax"</w:t>
            </w:r>
            <w:r>
              <w:rPr>
                <w:color w:val="F5844C"/>
              </w:rPr>
              <w:t xml:space="preserve"> minOccurs</w:t>
            </w:r>
            <w:r>
              <w:rPr>
                <w:color w:val="FF8040"/>
              </w:rPr>
              <w:t>=</w:t>
            </w:r>
            <w:r>
              <w:t>"0"</w:t>
            </w:r>
            <w:r>
              <w:rPr>
                <w:color w:val="F5844C"/>
              </w:rPr>
              <w:t xml:space="preserve"> maxOccurs</w:t>
            </w:r>
            <w:r>
              <w:rPr>
                <w:color w:val="FF8040"/>
              </w:rPr>
              <w:t>=</w:t>
            </w:r>
            <w:r>
              <w:t>"unbounded"</w:t>
            </w:r>
            <w:r>
              <w:rPr>
                <w:color w:val="000096"/>
              </w:rPr>
              <w:t>/&gt;</w:t>
            </w:r>
            <w:r>
              <w:rPr>
                <w:color w:val="000000"/>
              </w:rPr>
              <w:br/>
              <w:t xml:space="preserve">        </w:t>
            </w:r>
            <w:r>
              <w:rPr>
                <w:color w:val="003296"/>
              </w:rPr>
              <w:t>&lt;/xs:sequence&gt;</w:t>
            </w:r>
            <w:r>
              <w:rPr>
                <w:color w:val="000000"/>
              </w:rPr>
              <w:br/>
              <w:t xml:space="preserve">        </w:t>
            </w:r>
            <w:r>
              <w:rPr>
                <w:color w:val="003296"/>
              </w:rPr>
              <w:t>&lt;xs:attribute</w:t>
            </w:r>
            <w:r>
              <w:rPr>
                <w:color w:val="F5844C"/>
              </w:rPr>
              <w:t xml:space="preserve"> name</w:t>
            </w:r>
            <w:r>
              <w:rPr>
                <w:color w:val="FF8040"/>
              </w:rPr>
              <w:t>=</w:t>
            </w:r>
            <w:r>
              <w:t>"startTime"</w:t>
            </w:r>
            <w:r>
              <w:rPr>
                <w:color w:val="F5844C"/>
              </w:rPr>
              <w:t xml:space="preserve"> type</w:t>
            </w:r>
            <w:r>
              <w:rPr>
                <w:color w:val="FF8040"/>
              </w:rPr>
              <w:t>=</w:t>
            </w:r>
            <w:r>
              <w:t>"xs:duration"</w:t>
            </w:r>
            <w:r>
              <w:rPr>
                <w:color w:val="F5844C"/>
              </w:rPr>
              <w:t xml:space="preserve"> use</w:t>
            </w:r>
            <w:r>
              <w:rPr>
                <w:color w:val="FF8040"/>
              </w:rPr>
              <w:t>=</w:t>
            </w:r>
            <w:r>
              <w:t>"optional"</w:t>
            </w:r>
            <w:r>
              <w:rPr>
                <w:color w:val="000096"/>
              </w:rPr>
              <w:t>/&gt;</w:t>
            </w:r>
            <w:r>
              <w:rPr>
                <w:color w:val="000000"/>
              </w:rPr>
              <w:br/>
              <w:t xml:space="preserve">        </w:t>
            </w:r>
            <w:r>
              <w:rPr>
                <w:color w:val="003296"/>
              </w:rPr>
              <w:t>&lt;xs:attribute</w:t>
            </w:r>
            <w:r>
              <w:rPr>
                <w:color w:val="F5844C"/>
              </w:rPr>
              <w:t xml:space="preserve"> name</w:t>
            </w:r>
            <w:r>
              <w:rPr>
                <w:color w:val="FF8040"/>
              </w:rPr>
              <w:t>=</w:t>
            </w:r>
            <w:r>
              <w:t>"duration"</w:t>
            </w:r>
            <w:r>
              <w:rPr>
                <w:color w:val="F5844C"/>
              </w:rPr>
              <w:t xml:space="preserve"> type</w:t>
            </w:r>
            <w:r>
              <w:rPr>
                <w:color w:val="FF8040"/>
              </w:rPr>
              <w:t>=</w:t>
            </w:r>
            <w:r>
              <w:t>"xs:duration"</w:t>
            </w:r>
            <w:r>
              <w:rPr>
                <w:color w:val="F5844C"/>
              </w:rPr>
              <w:t xml:space="preserve"> use</w:t>
            </w:r>
            <w:r>
              <w:rPr>
                <w:color w:val="FF8040"/>
              </w:rPr>
              <w:t>=</w:t>
            </w:r>
            <w:r>
              <w:t>"required"</w:t>
            </w:r>
            <w:r>
              <w:rPr>
                <w:color w:val="000096"/>
              </w:rPr>
              <w:t>/&gt;</w:t>
            </w:r>
            <w:r>
              <w:rPr>
                <w:color w:val="000000"/>
              </w:rPr>
              <w:br/>
              <w:t xml:space="preserve">        </w:t>
            </w:r>
            <w:r>
              <w:rPr>
                <w:color w:val="003296"/>
              </w:rPr>
              <w:t>&lt;xs:anyAttribute</w:t>
            </w:r>
            <w:r>
              <w:rPr>
                <w:color w:val="F5844C"/>
              </w:rPr>
              <w:t xml:space="preserve"> namespace</w:t>
            </w:r>
            <w:r>
              <w:rPr>
                <w:color w:val="FF8040"/>
              </w:rPr>
              <w:t>=</w:t>
            </w:r>
            <w:r>
              <w:t>"##other"</w:t>
            </w:r>
            <w:r>
              <w:rPr>
                <w:color w:val="F5844C"/>
              </w:rPr>
              <w:t xml:space="preserve"> processContents</w:t>
            </w:r>
            <w:r>
              <w:rPr>
                <w:color w:val="FF8040"/>
              </w:rPr>
              <w:t>=</w:t>
            </w:r>
            <w:r>
              <w:t>"lax"</w:t>
            </w:r>
            <w:r>
              <w:rPr>
                <w:color w:val="000096"/>
              </w:rPr>
              <w:t>/&gt;</w:t>
            </w:r>
            <w:r>
              <w:rPr>
                <w:color w:val="000000"/>
              </w:rPr>
              <w:br/>
              <w:t xml:space="preserve">    </w:t>
            </w:r>
            <w:r>
              <w:rPr>
                <w:color w:val="003296"/>
              </w:rPr>
              <w:t>&lt;/xs:complexType&gt;</w:t>
            </w:r>
          </w:p>
        </w:tc>
      </w:tr>
    </w:tbl>
    <w:p w14:paraId="48E49086" w14:textId="430E7756" w:rsidR="00576E8E" w:rsidRDefault="00576E8E" w:rsidP="00576E8E">
      <w:pPr>
        <w:rPr>
          <w:b/>
        </w:rPr>
      </w:pPr>
    </w:p>
    <w:p w14:paraId="69F79DB9" w14:textId="12CADDA9" w:rsidR="00BC7172" w:rsidRPr="0077198F" w:rsidRDefault="00BC7172" w:rsidP="00BC717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01CEE8C" w14:textId="77777777" w:rsidR="00BC7172" w:rsidRPr="00C14D74" w:rsidRDefault="00BC7172" w:rsidP="00BC7172">
      <w:pPr>
        <w:pStyle w:val="Heading8"/>
        <w:rPr>
          <w:lang w:val="en-US"/>
        </w:rPr>
      </w:pPr>
      <w:bookmarkStart w:id="12" w:name="_Toc26283896"/>
      <w:bookmarkStart w:id="13" w:name="_Toc106249274"/>
      <w:r w:rsidRPr="00C14D74">
        <w:rPr>
          <w:lang w:val="en-US"/>
        </w:rPr>
        <w:t>Annex L (normative):</w:t>
      </w:r>
      <w:r w:rsidRPr="00C14D74">
        <w:rPr>
          <w:lang w:val="en-US"/>
        </w:rPr>
        <w:br/>
      </w:r>
      <w:proofErr w:type="spellStart"/>
      <w:r w:rsidRPr="00C14D74">
        <w:rPr>
          <w:lang w:val="en-US"/>
        </w:rPr>
        <w:t>QoE</w:t>
      </w:r>
      <w:proofErr w:type="spellEnd"/>
      <w:r w:rsidRPr="00C14D74">
        <w:rPr>
          <w:lang w:val="en-US"/>
        </w:rPr>
        <w:t xml:space="preserve"> Measurement Collection Functionalities</w:t>
      </w:r>
      <w:bookmarkEnd w:id="12"/>
      <w:bookmarkEnd w:id="13"/>
    </w:p>
    <w:p w14:paraId="60F84467" w14:textId="77777777" w:rsidR="00BC7172" w:rsidRDefault="00BC7172" w:rsidP="00BC7172">
      <w:pPr>
        <w:pStyle w:val="Heading1"/>
        <w:rPr>
          <w:noProof/>
        </w:rPr>
      </w:pPr>
      <w:bookmarkStart w:id="14" w:name="_Toc26283897"/>
      <w:bookmarkStart w:id="15" w:name="_Toc106249275"/>
      <w:r>
        <w:rPr>
          <w:noProof/>
        </w:rPr>
        <w:t>L.1</w:t>
      </w:r>
      <w:r>
        <w:rPr>
          <w:noProof/>
        </w:rPr>
        <w:tab/>
      </w:r>
      <w:r w:rsidRPr="006F7ED5">
        <w:rPr>
          <w:noProof/>
        </w:rPr>
        <w:t>Configuration and reporting</w:t>
      </w:r>
      <w:bookmarkEnd w:id="14"/>
      <w:bookmarkEnd w:id="15"/>
    </w:p>
    <w:p w14:paraId="2F651190" w14:textId="77777777" w:rsidR="00BC7172" w:rsidRDefault="00BC7172" w:rsidP="00BC7172">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 </w:t>
      </w:r>
    </w:p>
    <w:p w14:paraId="535F9B9A" w14:textId="77777777" w:rsidR="00BC7172" w:rsidRDefault="00BC7172" w:rsidP="00BC7172">
      <w:r>
        <w:t>If QMC is supported, the UE shall support the following QMC functionalities:</w:t>
      </w:r>
    </w:p>
    <w:p w14:paraId="15E13811" w14:textId="77777777" w:rsidR="00BC7172" w:rsidRDefault="00BC7172" w:rsidP="00BC7172">
      <w:pPr>
        <w:pStyle w:val="B1"/>
      </w:pPr>
      <w:r>
        <w:t>-</w:t>
      </w:r>
      <w:r>
        <w:tab/>
      </w:r>
      <w:proofErr w:type="spellStart"/>
      <w:r>
        <w:t>QoE</w:t>
      </w:r>
      <w:proofErr w:type="spellEnd"/>
      <w:r>
        <w:t xml:space="preserve"> Configuration: The </w:t>
      </w:r>
      <w:proofErr w:type="spellStart"/>
      <w:r>
        <w:t>QoE</w:t>
      </w:r>
      <w:proofErr w:type="spellEnd"/>
      <w:r>
        <w:t xml:space="preserve"> configuration will be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 xml:space="preserve">-encoded data (see [18]) stored in network byte order .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current specification.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p>
    <w:p w14:paraId="7C30A4D6" w14:textId="77777777" w:rsidR="00BC7172" w:rsidRDefault="00BC7172" w:rsidP="00BC7172">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71309C93" w14:textId="77777777" w:rsidR="00BC7172" w:rsidRPr="006B5B70" w:rsidRDefault="00BC7172" w:rsidP="00BC7172">
      <w:pPr>
        <w:pStyle w:val="B1"/>
        <w:rPr>
          <w:lang w:eastAsia="zh-CN"/>
        </w:rPr>
      </w:pPr>
      <w:r>
        <w:lastRenderedPageBreak/>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 xml:space="preserve">(see </w:t>
      </w:r>
      <w:r>
        <w:t>[</w:t>
      </w:r>
      <w:r>
        <w:rPr>
          <w:lang w:eastAsia="zh-CN"/>
        </w:rPr>
        <w:t>70</w:t>
      </w:r>
      <w:r>
        <w:t>]</w:t>
      </w:r>
      <w:r>
        <w:rPr>
          <w:lang w:eastAsia="zh-CN"/>
        </w:rPr>
        <w:t>) for NR</w:t>
      </w:r>
      <w:r>
        <w:t>.</w:t>
      </w:r>
    </w:p>
    <w:p w14:paraId="70F3B6E6" w14:textId="13F09C05" w:rsidR="00BC7172" w:rsidDel="00283E50" w:rsidRDefault="00BC7172" w:rsidP="00BC7172">
      <w:pPr>
        <w:pStyle w:val="B1"/>
        <w:rPr>
          <w:del w:id="16" w:author="Lenovo" w:date="2023-02-07T21:37:00Z"/>
        </w:rPr>
      </w:pPr>
      <w:del w:id="17" w:author="Lenovo" w:date="2023-02-07T21:37:00Z">
        <w:r w:rsidDel="00283E50">
          <w:delText>-</w:delText>
        </w:r>
        <w:r w:rsidDel="00283E50">
          <w:tab/>
          <w:delText>The QoE configuration AT command +CAPPLEVMC or AT command +CAPPLEVMCNR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delText>
        </w:r>
      </w:del>
    </w:p>
    <w:p w14:paraId="50BC8D5D" w14:textId="17834D20" w:rsidR="00BC7172" w:rsidRDefault="00BC7172" w:rsidP="00BC7172">
      <w:pPr>
        <w:pStyle w:val="B1"/>
      </w:pPr>
      <w:r>
        <w:t>-</w:t>
      </w:r>
      <w:r>
        <w:tab/>
        <w:t xml:space="preserve">When a new session is started, the </w:t>
      </w:r>
      <w:proofErr w:type="spellStart"/>
      <w:r>
        <w:t>QoE</w:t>
      </w:r>
      <w:proofErr w:type="spellEnd"/>
      <w:r>
        <w:t xml:space="preserve"> reporting AT command </w:t>
      </w:r>
      <w:del w:id="18" w:author="Lenovo" w:date="2023-02-07T21:39:00Z">
        <w:r w:rsidDel="00283E50">
          <w:delText xml:space="preserve">+CAPPLEVMR or AT command </w:delText>
        </w:r>
      </w:del>
      <w:r>
        <w:t xml:space="preserve">+CAPPLEVMRNR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6C8813B5" w14:textId="543FF47B" w:rsidR="00BC7172" w:rsidRDefault="00BC7172" w:rsidP="00BC7172">
      <w:pPr>
        <w:pStyle w:val="B1"/>
      </w:pPr>
      <w:r>
        <w:rPr>
          <w:lang w:eastAsia="zh-CN"/>
        </w:rPr>
        <w:t xml:space="preserve">-    </w:t>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ins w:id="19" w:author="Lenovo" w:date="2023-02-07T21:39:00Z">
        <w:r w:rsidR="00283E50">
          <w:t xml:space="preserve">or </w:t>
        </w:r>
      </w:ins>
      <w:ins w:id="20" w:author="Lenovo" w:date="2023-02-07T21:40:00Z">
        <w:r w:rsidR="00283E50" w:rsidRPr="00283E50">
          <w:t>&lt;start-</w:t>
        </w:r>
        <w:proofErr w:type="spellStart"/>
        <w:r w:rsidR="00283E50" w:rsidRPr="00283E50">
          <w:t>stop_</w:t>
        </w:r>
        <w:r w:rsidR="00283E50">
          <w:t>measurement</w:t>
        </w:r>
        <w:proofErr w:type="spellEnd"/>
        <w:r w:rsidR="00283E50" w:rsidRPr="00283E50">
          <w:t xml:space="preserve">&gt; </w:t>
        </w:r>
      </w:ins>
      <w:r>
        <w:t>set to "1" shall be sent to the DASH client as notification of a discard request. Then the DASH client shall stop collecting quality metrics and discard any already collected information [63].</w:t>
      </w:r>
    </w:p>
    <w:p w14:paraId="3B68E850" w14:textId="77777777" w:rsidR="00BC7172" w:rsidRPr="00EA3AEB" w:rsidRDefault="00BC7172" w:rsidP="00BC7172">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 </w:t>
      </w:r>
    </w:p>
    <w:p w14:paraId="42A50BB8" w14:textId="69AE6EFB" w:rsidR="00BC7172" w:rsidRPr="00EA3AEB" w:rsidRDefault="00BC7172" w:rsidP="00BC7172">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to the DASH client,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10.6. The reporting periodicity follow the baseline NR </w:t>
      </w:r>
      <w:proofErr w:type="spellStart"/>
      <w:r>
        <w:rPr>
          <w:lang w:eastAsia="zh-CN"/>
        </w:rPr>
        <w:t>QoE</w:t>
      </w:r>
      <w:proofErr w:type="spellEnd"/>
      <w:r>
        <w:rPr>
          <w:lang w:eastAsia="zh-CN"/>
        </w:rPr>
        <w:t xml:space="preserve"> configuration when the reporting periodicity is not included. </w:t>
      </w:r>
    </w:p>
    <w:p w14:paraId="50BF76B2" w14:textId="77777777" w:rsidR="00BC7172" w:rsidRPr="006B5B70" w:rsidRDefault="00BC7172" w:rsidP="00BC7172">
      <w:pPr>
        <w:pStyle w:val="B1"/>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directly delivered to the UE AS layer 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p>
    <w:p w14:paraId="5C39773C" w14:textId="77777777" w:rsidR="00BC7172" w:rsidRDefault="00BC7172" w:rsidP="00BC7172">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 </w:t>
      </w:r>
    </w:p>
    <w:p w14:paraId="23A01A35" w14:textId="77777777" w:rsidR="00BC7172" w:rsidRDefault="00BC7172" w:rsidP="00BC7172">
      <w:pPr>
        <w:pStyle w:val="B1"/>
      </w:pPr>
      <w:r>
        <w:tab/>
        <w:t xml:space="preserve">NOTE: 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501A1BD3" w14:textId="77777777" w:rsidR="00BC7172" w:rsidRDefault="00BC7172" w:rsidP="00BC7172">
      <w:r>
        <w:t xml:space="preserve">The exact implementation is not specified here, but example signalling diagrams for UMTS, LTE and NR below show the QMC functionality with a hypothetical "QMC Handler" entity. </w:t>
      </w:r>
    </w:p>
    <w:p w14:paraId="14AA4CD0" w14:textId="38C55712" w:rsidR="00BC7172" w:rsidRDefault="00BC7172" w:rsidP="00BC7172">
      <w:pPr>
        <w:pStyle w:val="TH"/>
      </w:pPr>
      <w:r w:rsidRPr="00DC7BBE">
        <w:rPr>
          <w:noProof/>
        </w:rPr>
        <w:lastRenderedPageBreak/>
        <w:drawing>
          <wp:inline distT="0" distB="0" distL="0" distR="0" wp14:anchorId="1A22EFC4" wp14:editId="1A25D767">
            <wp:extent cx="4362450" cy="3708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14:paraId="64519543" w14:textId="77777777" w:rsidR="00BC7172" w:rsidRDefault="00BC7172" w:rsidP="00BC7172">
      <w:pPr>
        <w:pStyle w:val="TF"/>
      </w:pPr>
      <w:r>
        <w:t>Figure L-1: Example signalling diagram for UMTS</w:t>
      </w:r>
    </w:p>
    <w:p w14:paraId="28D8130B" w14:textId="77777777" w:rsidR="00BC7172" w:rsidRDefault="00BC7172" w:rsidP="00BC7172">
      <w:pPr>
        <w:pStyle w:val="FP"/>
      </w:pPr>
    </w:p>
    <w:p w14:paraId="045F4F76" w14:textId="77777777" w:rsidR="00BC7172" w:rsidRDefault="00BC7172" w:rsidP="00BC7172">
      <w:pPr>
        <w:pStyle w:val="TH"/>
      </w:pPr>
    </w:p>
    <w:bookmarkStart w:id="21" w:name="_Hlk126699618"/>
    <w:p w14:paraId="577819C3" w14:textId="786A0B76" w:rsidR="00BC7172" w:rsidRDefault="002F2376" w:rsidP="00BC7172">
      <w:pPr>
        <w:pStyle w:val="TH"/>
      </w:pPr>
      <w:ins w:id="22" w:author="Lenovo" w:date="2023-02-07T21:43:00Z">
        <w:r>
          <w:object w:dxaOrig="9890" w:dyaOrig="8560" w14:anchorId="04C0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00.5pt" o:ole="">
              <v:imagedata r:id="rId14" o:title=""/>
            </v:shape>
            <o:OLEObject Type="Embed" ProgID="Visio.Drawing.15" ShapeID="_x0000_i1025" DrawAspect="Content" ObjectID="_1737718282" r:id="rId15"/>
          </w:object>
        </w:r>
      </w:ins>
      <w:bookmarkEnd w:id="21"/>
      <w:del w:id="23" w:author="Lenovo" w:date="2023-02-07T21:43:00Z">
        <w:r w:rsidR="00BC7172" w:rsidDel="002F2376">
          <w:object w:dxaOrig="9210" w:dyaOrig="7320" w14:anchorId="4954F617">
            <v:shape id="_x0000_i1026" type="#_x0000_t75" style="width:332pt;height:264pt" o:ole="">
              <v:imagedata r:id="rId16" o:title=""/>
            </v:shape>
            <o:OLEObject Type="Embed" ProgID="Mscgen.Chart" ShapeID="_x0000_i1026" DrawAspect="Content" ObjectID="_1737718283" r:id="rId17"/>
          </w:object>
        </w:r>
      </w:del>
    </w:p>
    <w:p w14:paraId="35813B03" w14:textId="77777777" w:rsidR="00BC7172" w:rsidRDefault="00BC7172" w:rsidP="00BC7172">
      <w:pPr>
        <w:pStyle w:val="TF"/>
      </w:pPr>
      <w:r>
        <w:t>Figure L-2: Example signalling diagram for LTE</w:t>
      </w:r>
    </w:p>
    <w:p w14:paraId="39C1AE84" w14:textId="4D2D0853" w:rsidR="00BC7172" w:rsidRDefault="002F2376" w:rsidP="00BC7172">
      <w:pPr>
        <w:pStyle w:val="TH"/>
      </w:pPr>
      <w:ins w:id="24" w:author="Lenovo" w:date="2023-02-07T21:45:00Z">
        <w:r>
          <w:object w:dxaOrig="10180" w:dyaOrig="8560" w14:anchorId="635C4889">
            <v:shape id="_x0000_i1027" type="#_x0000_t75" style="width:349.5pt;height:294.5pt" o:ole="">
              <v:imagedata r:id="rId18" o:title=""/>
            </v:shape>
            <o:OLEObject Type="Embed" ProgID="Visio.Drawing.15" ShapeID="_x0000_i1027" DrawAspect="Content" ObjectID="_1737718284" r:id="rId19"/>
          </w:object>
        </w:r>
      </w:ins>
      <w:del w:id="25" w:author="Lenovo" w:date="2023-02-07T21:45:00Z">
        <w:r w:rsidR="00BC7172" w:rsidDel="002F2376">
          <w:object w:dxaOrig="10335" w:dyaOrig="7320" w14:anchorId="5B71998F">
            <v:shape id="_x0000_i1028" type="#_x0000_t75" style="width:370pt;height:261.5pt" o:ole="">
              <v:imagedata r:id="rId20" o:title=""/>
            </v:shape>
            <o:OLEObject Type="Embed" ProgID="Mscgen.Chart" ShapeID="_x0000_i1028" DrawAspect="Content" ObjectID="_1737718285" r:id="rId21"/>
          </w:object>
        </w:r>
      </w:del>
    </w:p>
    <w:p w14:paraId="5650E248" w14:textId="77777777" w:rsidR="00BC7172" w:rsidRDefault="00BC7172" w:rsidP="00BC7172">
      <w:pPr>
        <w:pStyle w:val="TF"/>
      </w:pPr>
      <w:r>
        <w:t>Figure L-3: Example signalling diagram for NR</w:t>
      </w:r>
    </w:p>
    <w:p w14:paraId="45625F87" w14:textId="26B0AAF1" w:rsidR="00BC7172" w:rsidRPr="00BC7172" w:rsidRDefault="00BC7172" w:rsidP="00576E8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717C7" w14:textId="77777777" w:rsidR="00760B5F" w:rsidRDefault="00760B5F">
      <w:r>
        <w:separator/>
      </w:r>
    </w:p>
  </w:endnote>
  <w:endnote w:type="continuationSeparator" w:id="0">
    <w:p w14:paraId="35ED33AD" w14:textId="77777777" w:rsidR="00760B5F" w:rsidRDefault="007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7A94" w14:textId="77777777" w:rsidR="00760B5F" w:rsidRDefault="00760B5F">
      <w:r>
        <w:separator/>
      </w:r>
    </w:p>
  </w:footnote>
  <w:footnote w:type="continuationSeparator" w:id="0">
    <w:p w14:paraId="22734B50" w14:textId="77777777" w:rsidR="00760B5F" w:rsidRDefault="0076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D26AE"/>
    <w:multiLevelType w:val="hybridMultilevel"/>
    <w:tmpl w:val="A8E62B32"/>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47A67163"/>
    <w:multiLevelType w:val="hybridMultilevel"/>
    <w:tmpl w:val="5734F218"/>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2"/>
  </w:num>
  <w:num w:numId="2" w16cid:durableId="1481461135">
    <w:abstractNumId w:val="0"/>
  </w:num>
  <w:num w:numId="3" w16cid:durableId="1319935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E7"/>
    <w:rsid w:val="00041752"/>
    <w:rsid w:val="000602CF"/>
    <w:rsid w:val="000706B6"/>
    <w:rsid w:val="000A6394"/>
    <w:rsid w:val="000B7FED"/>
    <w:rsid w:val="000C038A"/>
    <w:rsid w:val="000C6598"/>
    <w:rsid w:val="000D44B3"/>
    <w:rsid w:val="000E705B"/>
    <w:rsid w:val="00102C13"/>
    <w:rsid w:val="00145D43"/>
    <w:rsid w:val="00183D92"/>
    <w:rsid w:val="00192C46"/>
    <w:rsid w:val="00197D48"/>
    <w:rsid w:val="001A08B3"/>
    <w:rsid w:val="001A7B60"/>
    <w:rsid w:val="001B52F0"/>
    <w:rsid w:val="001B7A65"/>
    <w:rsid w:val="001C752C"/>
    <w:rsid w:val="001E41F3"/>
    <w:rsid w:val="001F0203"/>
    <w:rsid w:val="0021720D"/>
    <w:rsid w:val="002331BC"/>
    <w:rsid w:val="0026004D"/>
    <w:rsid w:val="002640DD"/>
    <w:rsid w:val="00275D12"/>
    <w:rsid w:val="00282553"/>
    <w:rsid w:val="00283E50"/>
    <w:rsid w:val="00284FEB"/>
    <w:rsid w:val="002860C4"/>
    <w:rsid w:val="002A0F4A"/>
    <w:rsid w:val="002B5741"/>
    <w:rsid w:val="002D3F37"/>
    <w:rsid w:val="002E3834"/>
    <w:rsid w:val="002E472E"/>
    <w:rsid w:val="002F2376"/>
    <w:rsid w:val="00305409"/>
    <w:rsid w:val="003609EF"/>
    <w:rsid w:val="0036231A"/>
    <w:rsid w:val="00374DD4"/>
    <w:rsid w:val="00376C79"/>
    <w:rsid w:val="003E1A36"/>
    <w:rsid w:val="00410371"/>
    <w:rsid w:val="00415604"/>
    <w:rsid w:val="00420C6F"/>
    <w:rsid w:val="004242F1"/>
    <w:rsid w:val="004635A5"/>
    <w:rsid w:val="00473F8E"/>
    <w:rsid w:val="004B75B7"/>
    <w:rsid w:val="004D49F8"/>
    <w:rsid w:val="004E17E5"/>
    <w:rsid w:val="005141D9"/>
    <w:rsid w:val="0051580D"/>
    <w:rsid w:val="005355A3"/>
    <w:rsid w:val="00547111"/>
    <w:rsid w:val="00566040"/>
    <w:rsid w:val="00576E8E"/>
    <w:rsid w:val="00592D74"/>
    <w:rsid w:val="005C1B50"/>
    <w:rsid w:val="005E2C44"/>
    <w:rsid w:val="00600943"/>
    <w:rsid w:val="00621188"/>
    <w:rsid w:val="006257ED"/>
    <w:rsid w:val="00637E3F"/>
    <w:rsid w:val="00640954"/>
    <w:rsid w:val="00653DE4"/>
    <w:rsid w:val="006556FF"/>
    <w:rsid w:val="00665C47"/>
    <w:rsid w:val="00691EE8"/>
    <w:rsid w:val="00695808"/>
    <w:rsid w:val="006A0059"/>
    <w:rsid w:val="006A08CC"/>
    <w:rsid w:val="006B46FB"/>
    <w:rsid w:val="006E21FB"/>
    <w:rsid w:val="006E6B64"/>
    <w:rsid w:val="007365C3"/>
    <w:rsid w:val="00760B5F"/>
    <w:rsid w:val="00784AFE"/>
    <w:rsid w:val="00792342"/>
    <w:rsid w:val="007977A8"/>
    <w:rsid w:val="007B512A"/>
    <w:rsid w:val="007C2097"/>
    <w:rsid w:val="007C7A34"/>
    <w:rsid w:val="007D6A07"/>
    <w:rsid w:val="007F7259"/>
    <w:rsid w:val="008040A8"/>
    <w:rsid w:val="00812A36"/>
    <w:rsid w:val="008279FA"/>
    <w:rsid w:val="00832AFC"/>
    <w:rsid w:val="00836B88"/>
    <w:rsid w:val="00846FB5"/>
    <w:rsid w:val="008562A2"/>
    <w:rsid w:val="008626E7"/>
    <w:rsid w:val="00870EE7"/>
    <w:rsid w:val="008749C3"/>
    <w:rsid w:val="008863B9"/>
    <w:rsid w:val="00891B5A"/>
    <w:rsid w:val="008A45A6"/>
    <w:rsid w:val="008C7E98"/>
    <w:rsid w:val="008D3CCC"/>
    <w:rsid w:val="008F3789"/>
    <w:rsid w:val="008F5E85"/>
    <w:rsid w:val="008F686C"/>
    <w:rsid w:val="00900111"/>
    <w:rsid w:val="0090668B"/>
    <w:rsid w:val="009148DE"/>
    <w:rsid w:val="00941E30"/>
    <w:rsid w:val="00947E8D"/>
    <w:rsid w:val="009777D9"/>
    <w:rsid w:val="00991B88"/>
    <w:rsid w:val="009A5753"/>
    <w:rsid w:val="009A579D"/>
    <w:rsid w:val="009E3297"/>
    <w:rsid w:val="009E6A09"/>
    <w:rsid w:val="009F734F"/>
    <w:rsid w:val="00A246B6"/>
    <w:rsid w:val="00A3640F"/>
    <w:rsid w:val="00A47E70"/>
    <w:rsid w:val="00A50CF0"/>
    <w:rsid w:val="00A7671C"/>
    <w:rsid w:val="00A771B9"/>
    <w:rsid w:val="00AA2CBC"/>
    <w:rsid w:val="00AC1722"/>
    <w:rsid w:val="00AC5820"/>
    <w:rsid w:val="00AD1CD8"/>
    <w:rsid w:val="00B21782"/>
    <w:rsid w:val="00B258BB"/>
    <w:rsid w:val="00B67B97"/>
    <w:rsid w:val="00B968C8"/>
    <w:rsid w:val="00BA3EC5"/>
    <w:rsid w:val="00BA51D9"/>
    <w:rsid w:val="00BB5DFC"/>
    <w:rsid w:val="00BC7172"/>
    <w:rsid w:val="00BD279D"/>
    <w:rsid w:val="00BD6BB8"/>
    <w:rsid w:val="00C369D3"/>
    <w:rsid w:val="00C66BA2"/>
    <w:rsid w:val="00C870F6"/>
    <w:rsid w:val="00C95985"/>
    <w:rsid w:val="00CC5026"/>
    <w:rsid w:val="00CC5C1B"/>
    <w:rsid w:val="00CC68D0"/>
    <w:rsid w:val="00D03F9A"/>
    <w:rsid w:val="00D06D51"/>
    <w:rsid w:val="00D213E3"/>
    <w:rsid w:val="00D24991"/>
    <w:rsid w:val="00D50255"/>
    <w:rsid w:val="00D66520"/>
    <w:rsid w:val="00D70EA9"/>
    <w:rsid w:val="00D84AE9"/>
    <w:rsid w:val="00DA25EE"/>
    <w:rsid w:val="00DE34CF"/>
    <w:rsid w:val="00E13F3D"/>
    <w:rsid w:val="00E34898"/>
    <w:rsid w:val="00EB09B7"/>
    <w:rsid w:val="00EE7D7C"/>
    <w:rsid w:val="00F03E88"/>
    <w:rsid w:val="00F13F1B"/>
    <w:rsid w:val="00F16D05"/>
    <w:rsid w:val="00F25D98"/>
    <w:rsid w:val="00F300FB"/>
    <w:rsid w:val="00F41E6D"/>
    <w:rsid w:val="00F56F9A"/>
    <w:rsid w:val="00FA15C1"/>
    <w:rsid w:val="00FB2F2B"/>
    <w:rsid w:val="00FB6386"/>
    <w:rsid w:val="00FC6D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paragraph" w:styleId="Revision">
    <w:name w:val="Revision"/>
    <w:hidden/>
    <w:uiPriority w:val="99"/>
    <w:semiHidden/>
    <w:rsid w:val="00197D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1820</Words>
  <Characters>11470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49</cp:revision>
  <cp:lastPrinted>1899-12-31T23:00:00Z</cp:lastPrinted>
  <dcterms:created xsi:type="dcterms:W3CDTF">2022-03-03T20:19:00Z</dcterms:created>
  <dcterms:modified xsi:type="dcterms:W3CDTF">2023-02-12T13:45:00Z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